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华文中宋" w:eastAsia="黑体"/>
          <w:sz w:val="32"/>
          <w:szCs w:val="28"/>
        </w:rPr>
      </w:pPr>
      <w:r>
        <w:rPr>
          <w:rFonts w:hint="eastAsia" w:ascii="黑体" w:hAnsi="华文中宋" w:eastAsia="黑体"/>
          <w:sz w:val="32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温州经济技术开发区公开选调教师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考核量化标准</w:t>
      </w:r>
    </w:p>
    <w:bookmarkEnd w:id="0"/>
    <w:p>
      <w:pPr>
        <w:spacing w:line="440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（满分1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" w:eastAsia="楷体_GB2312"/>
          <w:sz w:val="32"/>
          <w:szCs w:val="32"/>
        </w:rPr>
        <w:t>0分）</w:t>
      </w:r>
    </w:p>
    <w:p>
      <w:pPr>
        <w:spacing w:before="173" w:beforeLines="30" w:line="20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 w:firstLineChars="198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一、资历（满分25分）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1.学历（10分）：硕士或双本科10分，本科8分，专科6分。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2.班主任年限（5分）：担任班主任满5年2分，每增加1年加1分，满分为止。（班主任年限计算到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年6月底，中层干部年限视同班主任年限计分）。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3.专业技术职务（10分）：高级教师10分，一级教师6分，二级教师4分。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二、工作表现（满分30分）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学年度考核与师德考核（8分）：学年度考核每个优职计2分，师德考核每个优秀计2分。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2.综合荣誉（12分）：指各级党委、政府、教育行政部门或人民教育基金会所颁发的各类优秀与先进等奖项。省级12分、市级8分、县区级4分（单项荣誉折半计算，同年不同类可累计加分）。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3.教学基本功（10分）：教师优质课、基本功竞赛等获省一等10分、二等8分、三等6分；市一等8分、二等6分、三等4分；县区一等6分、二等4分、三等奖2分。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三、骨干层次（满分25分）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省坛、市“三名”计25分；市“三坛”、县区“三名”计20分；市学科骨干、县区“三坛”计15分；县区学科骨干计10分。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四、示范作用（满分10分）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承担省、市、县（市、区）、校级公开课（讲座）每次分别计5分、3分、2分、1分。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五、专著课题论文（满分10分）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1.著作：属著的计6分，属编著的计3分，属编的不计分；获国家发明专利、实用新型专利、外观设计专利一项分别计6、3、2分。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2.课题研究：承担省、市、县（市、区）课题（已结题）研究的负责人、执笔分别计3分、2分、1分；获奖课题分别计6、4、2分。课题组成员按该课题得分除以合作人数计分。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3.论文发表：发表在国家刊物（核心期刊）的每篇计4分、省级3分、市级1分。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4.论文、案例获奖：省一等4分、二等3分、三等2分；市一等3分、二等2分、三等1分；县一等2分、二等1分。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default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六、附加分项（满分20分）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曾担任校级教科室主任、校级教研组长的加5分；曾担任县级及以上学科研训员、兼职研训员（包括教研员、师训员）的加20分。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/>
          <w:b/>
          <w:sz w:val="32"/>
          <w:szCs w:val="32"/>
        </w:rPr>
        <w:t>、计分时限：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以上计分项除综合荣誉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骨干层次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与附加分项</w:t>
      </w:r>
      <w:r>
        <w:rPr>
          <w:rFonts w:hint="eastAsia" w:ascii="仿宋_GB2312" w:eastAsia="仿宋_GB2312"/>
          <w:sz w:val="32"/>
          <w:szCs w:val="32"/>
        </w:rPr>
        <w:t>外，其余荣誉均需在201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年1月之后获得，否则不计分。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416B5"/>
    <w:rsid w:val="135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2020-06-18T13:24:00Z</dcterms:created>
  <dc:creator>陈贤梓</dc:creator>
  <cp:lastModifiedBy>陈贤梓</cp:lastModifiedBy>
  <dcterms:modified xsi:type="dcterms:W3CDTF">2020-06-18T13:25:13Z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