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附件4：</w:t>
      </w:r>
    </w:p>
    <w:p>
      <w:pPr>
        <w:snapToGrid w:val="0"/>
        <w:spacing w:line="360" w:lineRule="exact"/>
        <w:jc w:val="left"/>
        <w:rPr>
          <w:rFonts w:ascii="仿宋_GB2312" w:hAnsi="仿宋" w:eastAsia="仿宋_GB2312" w:cs="仿宋"/>
          <w:bCs/>
          <w:sz w:val="30"/>
          <w:szCs w:val="30"/>
        </w:rPr>
      </w:pPr>
    </w:p>
    <w:p>
      <w:pPr>
        <w:snapToGrid w:val="0"/>
        <w:spacing w:line="560" w:lineRule="exact"/>
        <w:jc w:val="center"/>
        <w:rPr>
          <w:rFonts w:ascii="方正大标宋简体" w:hAnsi="方正大标宋简体" w:eastAsia="方正大标宋简体" w:cs="方正大标宋简体"/>
          <w:sz w:val="36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2"/>
        </w:rPr>
        <w:t>临泉县引进县外在编在职教师综合认定细则</w:t>
      </w:r>
    </w:p>
    <w:p>
      <w:pPr>
        <w:spacing w:line="276" w:lineRule="auto"/>
        <w:ind w:firstLine="400" w:firstLineChars="200"/>
        <w:jc w:val="left"/>
        <w:rPr>
          <w:rFonts w:ascii="仿宋_GB2312" w:hAnsi="宋体" w:eastAsia="仿宋_GB2312"/>
          <w:sz w:val="20"/>
          <w:szCs w:val="30"/>
        </w:rPr>
      </w:pPr>
    </w:p>
    <w:p>
      <w:pPr>
        <w:snapToGrid w:val="0"/>
        <w:jc w:val="left"/>
        <w:rPr>
          <w:rFonts w:ascii="黑体" w:hAnsi="黑体" w:eastAsia="黑体"/>
          <w:spacing w:val="20"/>
          <w:sz w:val="32"/>
          <w:szCs w:val="32"/>
        </w:rPr>
      </w:pPr>
      <w:r>
        <w:rPr>
          <w:rFonts w:hint="eastAsia" w:ascii="黑体" w:hAnsi="黑体" w:eastAsia="黑体"/>
          <w:spacing w:val="20"/>
          <w:sz w:val="32"/>
          <w:szCs w:val="32"/>
        </w:rPr>
        <w:t>一、综合认定项目及量化标准</w:t>
      </w:r>
    </w:p>
    <w:tbl>
      <w:tblPr>
        <w:tblStyle w:val="4"/>
        <w:tblW w:w="90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764"/>
        <w:gridCol w:w="1181"/>
        <w:gridCol w:w="1107"/>
        <w:gridCol w:w="940"/>
        <w:gridCol w:w="970"/>
        <w:gridCol w:w="993"/>
        <w:gridCol w:w="23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714" w:type="dxa"/>
            <w:gridSpan w:val="3"/>
            <w:tcBorders>
              <w:tl2br w:val="single" w:color="000000" w:sz="4" w:space="0"/>
            </w:tcBorders>
            <w:noWrap/>
            <w:vAlign w:val="center"/>
          </w:tcPr>
          <w:p>
            <w:pPr>
              <w:snapToGrid w:val="0"/>
              <w:spacing w:line="28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   级别</w:t>
            </w:r>
          </w:p>
          <w:p>
            <w:pPr>
              <w:snapToGrid w:val="0"/>
              <w:spacing w:line="28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项目/分值/等次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国家级</w:t>
            </w:r>
          </w:p>
        </w:tc>
        <w:tc>
          <w:tcPr>
            <w:tcW w:w="9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省级</w:t>
            </w:r>
          </w:p>
        </w:tc>
        <w:tc>
          <w:tcPr>
            <w:tcW w:w="97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市级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县级</w:t>
            </w:r>
          </w:p>
        </w:tc>
        <w:tc>
          <w:tcPr>
            <w:tcW w:w="2373" w:type="dxa"/>
            <w:noWrap/>
            <w:vAlign w:val="center"/>
          </w:tcPr>
          <w:p>
            <w:pPr>
              <w:spacing w:line="276" w:lineRule="auto"/>
              <w:ind w:firstLine="366" w:firstLineChars="150"/>
              <w:jc w:val="center"/>
              <w:rPr>
                <w:rFonts w:ascii="宋体" w:hAnsi="宋体" w:cs="宋体"/>
                <w:spacing w:val="2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2"/>
                <w:sz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769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业务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获奖</w:t>
            </w:r>
          </w:p>
        </w:tc>
        <w:tc>
          <w:tcPr>
            <w:tcW w:w="764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1181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一等奖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</w:t>
            </w:r>
          </w:p>
        </w:tc>
        <w:tc>
          <w:tcPr>
            <w:tcW w:w="9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97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373" w:type="dxa"/>
            <w:vMerge w:val="restart"/>
            <w:noWrap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spacing w:val="2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2"/>
                <w:sz w:val="24"/>
                <w:shd w:val="clear" w:color="auto" w:fill="FFFFFF"/>
              </w:rPr>
              <w:t>由业务部门组织的优质课评选、基本功竞赛、技能大赛、学科竞赛等获奖（辅导学生获奖证书须注明有辅导老师姓名）。按最高一项记分，其他不同类型的取最高项按相应等次分值的10%计分累加，其余不计，最高记15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769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1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二等奖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9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97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2373" w:type="dxa"/>
            <w:vMerge w:val="continue"/>
            <w:noWrap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spacing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769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1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三等奖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9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97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373" w:type="dxa"/>
            <w:vMerge w:val="continue"/>
            <w:noWrap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spacing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769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骨干教师</w:t>
            </w:r>
          </w:p>
        </w:tc>
        <w:tc>
          <w:tcPr>
            <w:tcW w:w="764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1181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名师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97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2373" w:type="dxa"/>
            <w:vMerge w:val="restart"/>
            <w:noWrap/>
            <w:vAlign w:val="center"/>
          </w:tcPr>
          <w:p>
            <w:pPr>
              <w:spacing w:line="276" w:lineRule="auto"/>
              <w:ind w:firstLine="366" w:firstLineChars="150"/>
              <w:jc w:val="left"/>
              <w:rPr>
                <w:rFonts w:ascii="宋体" w:hAnsi="宋体" w:cs="宋体"/>
                <w:spacing w:val="2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2"/>
                <w:sz w:val="24"/>
                <w:shd w:val="clear" w:color="auto" w:fill="FFFFFF"/>
              </w:rPr>
              <w:t>依最高一项记分，不累加。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69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1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学科带头人、教坛新星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97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2373" w:type="dxa"/>
            <w:vMerge w:val="continue"/>
            <w:noWrap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spacing w:val="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9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骨干教师</w:t>
            </w:r>
          </w:p>
        </w:tc>
        <w:tc>
          <w:tcPr>
            <w:tcW w:w="1107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97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993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373" w:type="dxa"/>
            <w:vMerge w:val="continue"/>
            <w:noWrap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spacing w:val="2"/>
                <w:sz w:val="24"/>
                <w:shd w:val="clear" w:color="auto" w:fill="FFFFFF"/>
              </w:rPr>
            </w:pPr>
          </w:p>
        </w:tc>
      </w:tr>
    </w:tbl>
    <w:p>
      <w:pPr>
        <w:spacing w:line="276" w:lineRule="auto"/>
        <w:ind w:firstLine="160" w:firstLineChars="200"/>
        <w:jc w:val="left"/>
        <w:rPr>
          <w:rFonts w:ascii="仿宋_GB2312" w:hAnsi="宋体" w:eastAsia="仿宋_GB2312"/>
          <w:sz w:val="8"/>
          <w:szCs w:val="30"/>
        </w:rPr>
      </w:pPr>
    </w:p>
    <w:p>
      <w:pPr>
        <w:snapToGrid w:val="0"/>
        <w:jc w:val="left"/>
        <w:rPr>
          <w:rFonts w:ascii="黑体" w:hAnsi="黑体" w:eastAsia="黑体"/>
          <w:spacing w:val="20"/>
          <w:sz w:val="30"/>
          <w:szCs w:val="30"/>
        </w:rPr>
      </w:pPr>
      <w:r>
        <w:rPr>
          <w:rFonts w:hint="eastAsia" w:ascii="黑体" w:hAnsi="黑体" w:eastAsia="黑体"/>
          <w:spacing w:val="20"/>
          <w:sz w:val="30"/>
          <w:szCs w:val="30"/>
        </w:rPr>
        <w:t>二、操作办法</w:t>
      </w:r>
    </w:p>
    <w:p>
      <w:pPr>
        <w:spacing w:line="276" w:lineRule="auto"/>
        <w:ind w:firstLine="600" w:firstLineChars="2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申请人员超过设岗限额时，运用本细则，分数高的优先。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8F"/>
    <w:rsid w:val="00134CA3"/>
    <w:rsid w:val="0032008F"/>
    <w:rsid w:val="0080131F"/>
    <w:rsid w:val="00B9426F"/>
    <w:rsid w:val="00CD5199"/>
    <w:rsid w:val="00EB75B9"/>
    <w:rsid w:val="074855E1"/>
    <w:rsid w:val="26C424D4"/>
    <w:rsid w:val="27093036"/>
    <w:rsid w:val="2F615BF8"/>
    <w:rsid w:val="2FA9471A"/>
    <w:rsid w:val="319A5239"/>
    <w:rsid w:val="35C5292F"/>
    <w:rsid w:val="39F017D2"/>
    <w:rsid w:val="42A41224"/>
    <w:rsid w:val="4C4E74EC"/>
    <w:rsid w:val="4F2954E6"/>
    <w:rsid w:val="5C1F52C5"/>
    <w:rsid w:val="67F67BF9"/>
    <w:rsid w:val="6B111A11"/>
    <w:rsid w:val="76123D2D"/>
    <w:rsid w:val="7C51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286</Words>
  <Characters>1631</Characters>
  <Lines>13</Lines>
  <Paragraphs>3</Paragraphs>
  <TotalTime>69</TotalTime>
  <ScaleCrop>false</ScaleCrop>
  <LinksUpToDate>false</LinksUpToDate>
  <CharactersWithSpaces>1914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2020-05-11T02:08:00Z</dcterms:created>
  <dc:creator>zzy</dc:creator>
  <cp:lastModifiedBy>admin</cp:lastModifiedBy>
  <cp:lastPrinted>2020-06-08T00:16:00Z</cp:lastPrinted>
  <dcterms:modified xsi:type="dcterms:W3CDTF">2020-06-08T09:07:27Z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