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725"/>
        <w:gridCol w:w="806"/>
        <w:gridCol w:w="2268"/>
        <w:gridCol w:w="2410"/>
        <w:gridCol w:w="708"/>
        <w:gridCol w:w="1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序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招聘学校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学历、学位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其他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莆田第二中学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历史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32"/>
                <w:szCs w:val="32"/>
              </w:rPr>
              <w:t>历史学类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硕士研究生及以上学历或教育部公费师范生，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  <w:t>或教育部直属师范大学全日制本科毕业生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莆田第二中学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体育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32"/>
                <w:szCs w:val="32"/>
              </w:rPr>
              <w:t>体育学类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同上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32"/>
                <w:szCs w:val="32"/>
              </w:rPr>
              <w:t>篮球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莆田第二中学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物理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32"/>
                <w:szCs w:val="32"/>
              </w:rPr>
              <w:t>物理学类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同上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莆田第二中学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32"/>
                <w:szCs w:val="32"/>
              </w:rPr>
              <w:t>政治学类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同上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A37D9"/>
    <w:rsid w:val="03C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2019-11-22T04:21:00Z</dcterms:created>
  <dc:creator>秋叶夏花</dc:creator>
  <cp:lastModifiedBy>秋叶夏花</cp:lastModifiedBy>
  <dcterms:modified xsi:type="dcterms:W3CDTF">2019-11-22T04:23:43Z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