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670"/>
        <w:gridCol w:w="670"/>
        <w:gridCol w:w="350"/>
        <w:gridCol w:w="1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ascii="微软雅黑" w:hAnsi="微软雅黑" w:eastAsia="微软雅黑" w:cs="微软雅黑"/>
                <w:b/>
                <w:color w:val="333333"/>
                <w:sz w:val="16"/>
                <w:szCs w:val="16"/>
              </w:rPr>
              <w:t>学科岗位　　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引才计划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合计　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广德中学　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广德三中　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专业不限。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  <w:bdr w:val="none" w:color="auto" w:sz="0" w:space="0"/>
              </w:rPr>
              <w:t>同一学科有两个引才单位的，考生按面试成绩排名择岗（如面试成绩相同，以笔试得分高者优先。若考生面试、笔试成绩均相同，则采取加试的方法）。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政治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历史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地理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物理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化学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生物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美术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2858"/>
    <w:multiLevelType w:val="multilevel"/>
    <w:tmpl w:val="0511285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56898"/>
    <w:rsid w:val="405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hint="default" w:ascii="monospace" w:hAnsi="monospace" w:eastAsia="monospace" w:cs="monospace"/>
      <w:color w:val="339933"/>
      <w:sz w:val="21"/>
      <w:szCs w:val="21"/>
    </w:rPr>
  </w:style>
  <w:style w:type="character" w:styleId="10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2019-11-11T02:31:00Z</dcterms:created>
  <dc:creator>张翠</dc:creator>
  <cp:lastModifiedBy>张翠</cp:lastModifiedBy>
  <dcterms:modified xsi:type="dcterms:W3CDTF">2019-11-11T02:33:01Z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