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420" w:lineRule="atLeast"/>
        <w:jc w:val="center"/>
        <w:rPr>
          <w:rFonts w:hint="default"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宿州市教体局2018年春季中小学教师资格认定公告</w:t>
      </w:r>
    </w:p>
    <w:p>
      <w:pPr>
        <w:pStyle w:val="5"/>
        <w:widowControl/>
        <w:ind w:firstLine="560" w:firstLineChars="200"/>
        <w:rPr>
          <w:rFonts w:ascii="仿宋" w:hAnsi="仿宋" w:eastAsia="仿宋" w:cs="仿宋"/>
          <w:color w:val="212121"/>
          <w:sz w:val="28"/>
          <w:szCs w:val="28"/>
        </w:rPr>
      </w:pP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根据《教师资格条例》、《安徽省教师资格制度实施细则》、《安徽省中小学教师资格考试改革试点工作实施方案》和《安徽省中小学教师资格考试与认定政策解释口径》及教资【2018】3号《关于做好2018年中小学教师资格认定的通知》，为做好我市2018年春季教师资格认定工作，现将有关事项公告如下：</w:t>
      </w:r>
    </w:p>
    <w:p>
      <w:pPr>
        <w:spacing w:line="600" w:lineRule="exact"/>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一、认定范围对象</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在宿州市内申请认定高级中学、中等职业学校、中等职业学校实习指导教师资格的人员，取得《中小学教师资格考试合格证明》或符合安徽直接认定条件的人员，包括:</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（一）申请认定教师资格者应是未达到国家法定退休年龄，户籍或工作单位在宿州市的中国公民。</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普通大中专院校全日制在读学生和全日制在读，在毕业前最后一个学期，原则上向就读学校所在地的教师资格认定机构提出申请认定相应的教师资格，也可向户籍所在地教师资格认定机构提出申请。其他申请人可向户籍或工作单位所在地的教师资格认定机构提出申请。</w:t>
      </w:r>
    </w:p>
    <w:p>
      <w:pPr>
        <w:pStyle w:val="5"/>
        <w:widowControl/>
        <w:ind w:firstLine="640" w:firstLineChars="200"/>
        <w:rPr>
          <w:rFonts w:ascii="仿宋" w:hAnsi="仿宋" w:eastAsia="仿宋" w:cs="仿宋"/>
          <w:color w:val="212121"/>
          <w:sz w:val="32"/>
          <w:szCs w:val="32"/>
        </w:rPr>
      </w:pP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（二）持有有效宿州市居住证的人员。</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三）符合直接认定条件的全日制普通大中专院校师范教育专业毕业人员，截止2013年12月31日在校就读和已经毕业的全日制普通大中专院校、师范教育专业毕业人员，申请要于所学专业一致，不符合直接认定人员，必须参加国家中小学教师资格考试。</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二、认定条件</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（一）应遵守宪法和法律，热爱教育事业，履行《教师法》规定的义务，遵守教师职业道德；</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（二）申请高级中学和中等职业学校文化课、专业课教师资格的，应具备高等师范院校本科或其他大学本科毕业及其以上学历。</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（三）申请中等职业学校实习指导教师资格的，应当具备中等职业学校毕业及其以上学历，并具有相当助理工程师以上专业技术职务或者中级以上工人技术等级。</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（四）具有良好的身体素质和心理素质，能适应教育教学工作的需要，无传染性疾病，无精神病史。并经教师资格认定机构指定的二级以上医院体检合格；</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（五）达到国家语言文字工作委员会颁布的《普通话水平测试等级标准》二级乙等以上。其中，申请中职、中学语文教师资格者，普通话水平应达到二级甲等以上。</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三、认定流程</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（一）网上申报时间：</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2018年春季认定申请时间安排如下：</w:t>
      </w:r>
    </w:p>
    <w:p>
      <w:pPr>
        <w:pStyle w:val="5"/>
        <w:widowControl/>
        <w:ind w:firstLine="420"/>
        <w:rPr>
          <w:rFonts w:ascii="仿宋" w:hAnsi="仿宋" w:eastAsia="仿宋" w:cs="仿宋"/>
          <w:color w:val="212121"/>
          <w:sz w:val="32"/>
          <w:szCs w:val="32"/>
        </w:rPr>
      </w:pPr>
      <w:r>
        <w:rPr>
          <w:rFonts w:hint="eastAsia" w:ascii="仿宋" w:hAnsi="仿宋" w:eastAsia="仿宋" w:cs="仿宋"/>
          <w:color w:val="212121"/>
          <w:sz w:val="32"/>
          <w:szCs w:val="32"/>
        </w:rPr>
        <w:t>符合直接认定条件的和2018年6月31日前已取得《中小学教师资格考试合格证明》的人员，为了方便2018年5月面试通过的考生参加春季教师资格认定，网上报名及现场确认均分为两批次进行。第一时间段： 2018年4月12日—4月20日（工作日7:00—24：00）。第二时间段：2018年6月12日—20日（工作日7:00—24：00）</w:t>
      </w:r>
    </w:p>
    <w:p>
      <w:pPr>
        <w:pStyle w:val="5"/>
        <w:widowControl/>
        <w:ind w:left="640"/>
        <w:rPr>
          <w:rFonts w:ascii="仿宋" w:hAnsi="仿宋" w:eastAsia="仿宋" w:cs="仿宋"/>
          <w:color w:val="212121"/>
          <w:sz w:val="32"/>
          <w:szCs w:val="32"/>
        </w:rPr>
      </w:pPr>
      <w:r>
        <w:rPr>
          <w:rFonts w:hint="eastAsia" w:ascii="仿宋" w:hAnsi="仿宋" w:eastAsia="仿宋" w:cs="仿宋"/>
          <w:color w:val="212121"/>
          <w:sz w:val="32"/>
          <w:szCs w:val="32"/>
        </w:rPr>
        <w:t>（二）网上申报流程：</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符合条件的申请人须在规定时间内登录“中国教师资格网”（www.jszg.edu.cn）进行网上报名。其中，持有“中小学教师资格考试合格证明”的申请人从“全国统考合格申请人网报入口”进行教师资格申请报名注册及认定进度查询，符合直接认定条件的申请人从“未参加全国统考申请人网报入口”进行教师资格报名注册及认定进度查询。</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1.按规定填写以下信息：</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⑴申请资格种类：高级中学、中等职业学校、中等职业学校实习指导教师资格</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⑵工作单位、毕业学校、通讯地址、鉴定单位：在校生填写就读学校，国考生如实填写。</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⑶专业类别：非国考人员选择“师范教育类”</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⑷所学专业：在“类别二”中选择，依次打开树形目录，选取具体专业。</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⑸修学教育学、心理学课程情况：非国考人员选择“符合师范毕业生特许条款”</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⑹普通话水平：如实填写，语文学科要求二级甲等以上，其它学科要求二级乙等以上。</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2．核对所填报名信息；</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3．确认无误后提交报名信息；</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4．提交成功后，系统返回此次报名生成的报名号，请申请人牢记报名所填写的姓名、身份证号、密码及报名号，这些资料是以后修改报名信息以及现场确认时的重要查询条件；</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5．请申请人牢记设定的登录密码，忘记登录密码不能登录的责任自负（如忘记密码，可通过原注册的邮箱找回）。</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６．请申请人自行填写并打印“报名号及现场确认信息”、“申请表（请用A3纸双面复印两份，本人在指定处用蓝黑、黑色钢笔签名，将报名号填写在封面右上角）”、“思想品德鉴定意见”表（A4纸打印一份），并交相关部门（系）填写盖章；</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7．报名结束以后，请点击“退出”按钮关闭报名页面，以免信息被他人更改；</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8.在“中国教师资格网”（http://www.jszg.edu.cn）下载相关电子文档并如实填写、打印。</w:t>
      </w:r>
    </w:p>
    <w:p>
      <w:pPr>
        <w:pStyle w:val="5"/>
        <w:widowControl/>
        <w:ind w:firstLine="640" w:firstLineChars="200"/>
        <w:rPr>
          <w:rFonts w:ascii="仿宋" w:hAnsi="仿宋" w:eastAsia="仿宋" w:cs="仿宋"/>
          <w:sz w:val="32"/>
          <w:szCs w:val="32"/>
        </w:rPr>
      </w:pPr>
      <w:r>
        <w:rPr>
          <w:rFonts w:hint="eastAsia" w:ascii="仿宋" w:hAnsi="仿宋" w:eastAsia="仿宋" w:cs="仿宋"/>
          <w:color w:val="212121"/>
          <w:sz w:val="32"/>
          <w:szCs w:val="32"/>
        </w:rPr>
        <w:t>（三）现场确认</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1．现场确认时间：第一批现场确认时间：2018年4月23日—24日</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第二批现场确认时间：2018年6月25日</w:t>
      </w:r>
    </w:p>
    <w:p>
      <w:pPr>
        <w:pStyle w:val="5"/>
        <w:widowControl/>
        <w:ind w:firstLine="643" w:firstLineChars="200"/>
        <w:rPr>
          <w:rFonts w:ascii="仿宋" w:hAnsi="仿宋" w:eastAsia="仿宋" w:cs="仿宋"/>
          <w:b/>
          <w:bCs/>
          <w:sz w:val="32"/>
          <w:szCs w:val="32"/>
        </w:rPr>
      </w:pPr>
      <w:r>
        <w:rPr>
          <w:rFonts w:hint="eastAsia" w:ascii="仿宋" w:hAnsi="仿宋" w:eastAsia="仿宋" w:cs="仿宋"/>
          <w:b/>
          <w:bCs/>
          <w:color w:val="212121"/>
          <w:sz w:val="32"/>
          <w:szCs w:val="32"/>
        </w:rPr>
        <w:t>未按规定时间到现场确认的，视为自动放弃教师资格申请。</w:t>
      </w:r>
    </w:p>
    <w:p>
      <w:pPr>
        <w:pStyle w:val="5"/>
        <w:widowControl/>
        <w:numPr>
          <w:ilvl w:val="0"/>
          <w:numId w:val="1"/>
        </w:numPr>
        <w:ind w:firstLine="640" w:firstLineChars="200"/>
        <w:rPr>
          <w:rFonts w:ascii="仿宋" w:hAnsi="仿宋" w:eastAsia="仿宋" w:cs="仿宋"/>
          <w:sz w:val="32"/>
          <w:szCs w:val="32"/>
        </w:rPr>
      </w:pPr>
      <w:r>
        <w:rPr>
          <w:rFonts w:hint="eastAsia" w:ascii="仿宋" w:hAnsi="仿宋" w:eastAsia="仿宋" w:cs="仿宋"/>
          <w:color w:val="212121"/>
          <w:sz w:val="32"/>
          <w:szCs w:val="32"/>
        </w:rPr>
        <w:t>现场确认地点：</w:t>
      </w:r>
      <w:r>
        <w:rPr>
          <w:rFonts w:hint="eastAsia" w:ascii="仿宋" w:hAnsi="仿宋" w:eastAsia="仿宋" w:cs="仿宋"/>
          <w:sz w:val="32"/>
          <w:szCs w:val="32"/>
        </w:rPr>
        <w:t>宿州市教体局一楼大厅。</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3．现场确认申请人须提交的材料如下：</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（1）《教师资格认定申请表》一式两份(A3纸正反打印)；</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（2）申请人《思想品德鉴定表》1份（下载地址：</w:t>
      </w:r>
      <w:r>
        <w:fldChar w:fldCharType="begin"/>
      </w:r>
      <w:r>
        <w:instrText xml:space="preserve"> HYPERLINK "http://www.jszg.edu.cn" </w:instrText>
      </w:r>
      <w:r>
        <w:fldChar w:fldCharType="separate"/>
      </w:r>
      <w:r>
        <w:rPr>
          <w:rStyle w:val="11"/>
          <w:rFonts w:hint="eastAsia" w:ascii="仿宋" w:hAnsi="仿宋" w:eastAsia="仿宋" w:cs="仿宋"/>
          <w:color w:val="auto"/>
          <w:sz w:val="32"/>
          <w:szCs w:val="32"/>
        </w:rPr>
        <w:t>http://www.jszg.edu.cn“资料下载”）。由申请人户籍所在地乡镇（街道）或所在工作单位（应届毕业生为就读学校）出具</w:t>
      </w:r>
      <w:r>
        <w:rPr>
          <w:rStyle w:val="11"/>
          <w:rFonts w:hint="eastAsia" w:ascii="仿宋" w:hAnsi="仿宋" w:eastAsia="仿宋" w:cs="仿宋"/>
          <w:color w:val="212121"/>
          <w:sz w:val="32"/>
          <w:szCs w:val="32"/>
        </w:rPr>
        <w:t>。</w:t>
      </w:r>
      <w:r>
        <w:rPr>
          <w:rStyle w:val="11"/>
          <w:rFonts w:hint="eastAsia" w:ascii="仿宋" w:hAnsi="仿宋" w:eastAsia="仿宋" w:cs="仿宋"/>
          <w:color w:val="212121"/>
          <w:sz w:val="32"/>
          <w:szCs w:val="32"/>
        </w:rPr>
        <w:fldChar w:fldCharType="end"/>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（3）身份证原件和复印件；</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4）户口簿或有效居住证原件和复印件，或工作单位（就读学校）证明原件；其中，向户籍所在地教师资格认定机构提出申请的，提供户口簿原件和复印件；向工作单位（就读学校）所在地教师资格认定机构提出申请的，提供相关证明。</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5）学历证书原件和复印件。尚未取得学历证书的全日制普通大中专院校应届毕业生，提供由所在学校教务部门出具的包含在读期间全部所学课程的学业成绩单（院系盖章无效）。对符合条件的，在其取得毕业证书后认定相应的教师资格。</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（6）教师资格认定机构指定的二级以上医院出具的《安徽省教师资格认定体检表》，体检表上的结论应明确填写“合格”或“不合格”，并加盖体检医院公章。</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（7）普通话水平测试等级证原件和复印件。普通话证书目前不设有效期，国家普通话证书全国通用。</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8）参加国考人员提供《中小学教师资格考试合格证明》原件和复印件；其中，2016年下半年及之后参加考试并合格人员，根据教育部考试中心《关于不再寄送纸质&lt;中小学教师资格考试合格证明〉的通知》（教试中心函﹝2016﹞23号）要求，提供通过中小学教师资格考试网（www.ntce.cn）查询、下载、打印PDF格式“网页版”的《中小学教师资格考试合格证明》。</w:t>
      </w:r>
    </w:p>
    <w:p>
      <w:pPr>
        <w:pStyle w:val="5"/>
        <w:widowControl/>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符合直接认定条件的全日制普通大中专院校师范教育专业毕业生须提交毕业生成绩登记表（含在学期间休学的教育学、教育心理学合格成绩）、教育教学实习鉴定表复印件各一份，并加盖所在学校、单位或当地人才交流中心印章。 </w:t>
      </w:r>
    </w:p>
    <w:p>
      <w:pPr>
        <w:pStyle w:val="5"/>
        <w:widowControl/>
        <w:numPr>
          <w:ilvl w:val="0"/>
          <w:numId w:val="2"/>
        </w:numPr>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申请人申请中等职业学校实习指导教师资格的，提供相当助理工程师以上专业技术职务或中级以上工人技术等级证书原件和复印件；</w:t>
      </w:r>
    </w:p>
    <w:p>
      <w:pPr>
        <w:pStyle w:val="5"/>
        <w:widowControl/>
        <w:numPr>
          <w:ilvl w:val="0"/>
          <w:numId w:val="2"/>
        </w:numPr>
        <w:ind w:firstLine="640" w:firstLineChars="200"/>
        <w:rPr>
          <w:rFonts w:ascii="仿宋" w:hAnsi="仿宋" w:eastAsia="仿宋" w:cs="仿宋"/>
          <w:color w:val="212121"/>
          <w:sz w:val="32"/>
          <w:szCs w:val="32"/>
        </w:rPr>
      </w:pPr>
      <w:r>
        <w:rPr>
          <w:rFonts w:hint="eastAsia" w:ascii="仿宋" w:hAnsi="仿宋" w:eastAsia="仿宋" w:cs="仿宋"/>
          <w:color w:val="212121"/>
          <w:sz w:val="32"/>
          <w:szCs w:val="32"/>
        </w:rPr>
        <w:t>教师资格认定机构要求提供的其它材料。申请人在网上申报时须提交本人近期正面免冠电子照片（证照件格式，非大头贴），照片宽114像素，高156像素，文件大小不超过20kb，jpg格式；电子照片须是与教师资格申请表、教师资格证书上粘贴的照片同一底板。</w:t>
      </w:r>
    </w:p>
    <w:p>
      <w:pPr>
        <w:pStyle w:val="5"/>
        <w:widowControl/>
        <w:rPr>
          <w:rFonts w:ascii="仿宋" w:hAnsi="仿宋" w:eastAsia="仿宋" w:cs="仿宋"/>
          <w:color w:val="212121"/>
          <w:sz w:val="32"/>
          <w:szCs w:val="32"/>
        </w:rPr>
      </w:pPr>
      <w:r>
        <w:rPr>
          <w:rFonts w:hint="eastAsia" w:ascii="仿宋" w:hAnsi="仿宋" w:eastAsia="仿宋" w:cs="仿宋"/>
          <w:color w:val="212121"/>
          <w:sz w:val="32"/>
          <w:szCs w:val="32"/>
        </w:rPr>
        <w:t>除申请表、体检表所需3张2寸照片外，请另附1张1寸照片（证件照格式）粘到申请表上供办证使用。</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申请人提供以上材料时（第1项材料和相关证件原件除外），请依序装订成册。复印件请统一用A4纸。</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四、体检时间、地点</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体检时间：第一批体检2018年4月23日- 4月24日 ；</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ab/>
      </w:r>
      <w:r>
        <w:rPr>
          <w:rFonts w:hint="eastAsia" w:ascii="仿宋" w:hAnsi="仿宋" w:eastAsia="仿宋" w:cs="仿宋"/>
          <w:color w:val="212121"/>
          <w:sz w:val="32"/>
          <w:szCs w:val="32"/>
        </w:rPr>
        <w:tab/>
      </w:r>
      <w:r>
        <w:rPr>
          <w:rFonts w:hint="eastAsia" w:ascii="仿宋" w:hAnsi="仿宋" w:eastAsia="仿宋" w:cs="仿宋"/>
          <w:color w:val="212121"/>
          <w:sz w:val="32"/>
          <w:szCs w:val="32"/>
        </w:rPr>
        <w:tab/>
      </w:r>
      <w:r>
        <w:rPr>
          <w:rFonts w:hint="eastAsia" w:ascii="仿宋" w:hAnsi="仿宋" w:eastAsia="仿宋" w:cs="仿宋"/>
          <w:color w:val="212121"/>
          <w:sz w:val="32"/>
          <w:szCs w:val="32"/>
        </w:rPr>
        <w:tab/>
      </w:r>
      <w:r>
        <w:rPr>
          <w:rFonts w:hint="eastAsia" w:ascii="仿宋" w:hAnsi="仿宋" w:eastAsia="仿宋" w:cs="仿宋"/>
          <w:color w:val="212121"/>
          <w:sz w:val="32"/>
          <w:szCs w:val="32"/>
        </w:rPr>
        <w:tab/>
      </w:r>
      <w:r>
        <w:rPr>
          <w:rFonts w:hint="eastAsia" w:ascii="仿宋" w:hAnsi="仿宋" w:eastAsia="仿宋" w:cs="仿宋"/>
          <w:color w:val="212121"/>
          <w:sz w:val="32"/>
          <w:szCs w:val="32"/>
        </w:rPr>
        <w:t xml:space="preserve">第二批体检2018年6月25日-6月26日 ；        </w:t>
      </w: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体检地点：宿州市立医院健康体检中心、宿州市第一人民医院。（注：请考生选其中一所医院参加体检）</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五、温馨提示：</w:t>
      </w:r>
    </w:p>
    <w:p>
      <w:pPr>
        <w:pStyle w:val="5"/>
        <w:widowControl/>
        <w:ind w:firstLine="640" w:firstLineChars="200"/>
        <w:jc w:val="both"/>
        <w:rPr>
          <w:rFonts w:ascii="仿宋" w:hAnsi="仿宋" w:eastAsia="仿宋" w:cs="仿宋"/>
          <w:color w:val="212121"/>
          <w:sz w:val="32"/>
          <w:szCs w:val="32"/>
        </w:rPr>
      </w:pPr>
      <w:r>
        <w:rPr>
          <w:rFonts w:hint="eastAsia" w:ascii="仿宋" w:hAnsi="仿宋" w:eastAsia="仿宋" w:cs="仿宋"/>
          <w:color w:val="212121"/>
          <w:sz w:val="32"/>
          <w:szCs w:val="32"/>
        </w:rPr>
        <w:t>安徽省中小学教师资格考试改革过渡期已于2015年12月31日结束。特别提醒申请人注意：</w:t>
      </w: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（一）从2016年1月1日起，原高等教育自学考试教育学和心理学两科合格证书，不再作为申请中小学教师资格的依据。</w:t>
      </w: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二）符合《安徽省中小学教师资格考试与认定政策解释口径》直接认定条件的师范教育专业毕业生，可以按照原办法直接申请认定任教学科与其所学专业相一致的中小学教师资格。申请任教学科与其所学专业不一致的教师资格时，须参加国家教师资格考试。</w:t>
      </w: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（三）申请幼儿园、小学、初级中学教师资格的人员请在户籍所在县区进行认定。</w:t>
      </w: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联系电话：0557-3929059</w:t>
      </w:r>
    </w:p>
    <w:p>
      <w:pPr>
        <w:pStyle w:val="5"/>
        <w:widowControl/>
        <w:ind w:firstLine="640" w:firstLineChars="200"/>
        <w:rPr>
          <w:rFonts w:ascii="仿宋" w:hAnsi="仿宋" w:eastAsia="仿宋" w:cs="仿宋"/>
          <w:color w:val="212121"/>
          <w:sz w:val="32"/>
          <w:szCs w:val="32"/>
        </w:rPr>
      </w:pPr>
    </w:p>
    <w:p>
      <w:pPr>
        <w:pStyle w:val="5"/>
        <w:widowControl/>
        <w:ind w:firstLine="640" w:firstLineChars="200"/>
        <w:rPr>
          <w:rFonts w:ascii="仿宋" w:hAnsi="仿宋" w:eastAsia="仿宋" w:cs="仿宋"/>
          <w:color w:val="212121"/>
          <w:sz w:val="32"/>
          <w:szCs w:val="32"/>
        </w:rPr>
      </w:pPr>
    </w:p>
    <w:p>
      <w:pPr>
        <w:pStyle w:val="5"/>
        <w:widowControl/>
        <w:rPr>
          <w:rFonts w:ascii="仿宋" w:hAnsi="仿宋" w:eastAsia="仿宋" w:cs="仿宋"/>
          <w:color w:val="212121"/>
          <w:sz w:val="32"/>
          <w:szCs w:val="32"/>
        </w:rPr>
      </w:pPr>
    </w:p>
    <w:p>
      <w:pPr>
        <w:pStyle w:val="5"/>
        <w:widowControl/>
        <w:ind w:firstLine="640" w:firstLineChars="200"/>
        <w:jc w:val="center"/>
        <w:rPr>
          <w:rFonts w:ascii="仿宋" w:hAnsi="仿宋" w:eastAsia="仿宋" w:cs="仿宋"/>
          <w:color w:val="212121"/>
          <w:sz w:val="32"/>
          <w:szCs w:val="32"/>
        </w:rPr>
      </w:pPr>
      <w:r>
        <w:rPr>
          <w:rFonts w:hint="eastAsia" w:ascii="仿宋" w:hAnsi="仿宋" w:eastAsia="仿宋" w:cs="仿宋"/>
          <w:color w:val="212121"/>
          <w:sz w:val="32"/>
          <w:szCs w:val="32"/>
        </w:rPr>
        <w:t xml:space="preserve">                              宿州市教体局</w:t>
      </w:r>
    </w:p>
    <w:p>
      <w:pPr>
        <w:pStyle w:val="5"/>
        <w:widowControl/>
        <w:ind w:firstLine="640" w:firstLineChars="200"/>
        <w:jc w:val="right"/>
        <w:rPr>
          <w:rFonts w:ascii="仿宋" w:hAnsi="仿宋" w:eastAsia="仿宋" w:cs="仿宋"/>
          <w:color w:val="212121"/>
          <w:sz w:val="32"/>
          <w:szCs w:val="32"/>
        </w:rPr>
      </w:pPr>
      <w:r>
        <w:rPr>
          <w:rFonts w:hint="eastAsia" w:ascii="仿宋" w:hAnsi="仿宋" w:eastAsia="仿宋" w:cs="仿宋"/>
          <w:color w:val="212121"/>
          <w:sz w:val="32"/>
          <w:szCs w:val="32"/>
        </w:rPr>
        <w:t>2018年3月27日</w:t>
      </w: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附件</w:t>
      </w:r>
      <w:r>
        <w:rPr>
          <w:rFonts w:hint="eastAsia" w:ascii="仿宋" w:hAnsi="仿宋" w:eastAsia="仿宋" w:cs="仿宋"/>
          <w:color w:val="212121"/>
          <w:sz w:val="32"/>
          <w:szCs w:val="32"/>
          <w:lang w:val="en-US" w:eastAsia="zh-CN"/>
        </w:rPr>
        <w:t>:</w:t>
      </w:r>
      <w:r>
        <w:rPr>
          <w:rFonts w:hint="eastAsia" w:ascii="仿宋" w:hAnsi="仿宋" w:eastAsia="仿宋" w:cs="仿宋"/>
          <w:color w:val="212121"/>
          <w:sz w:val="32"/>
          <w:szCs w:val="32"/>
        </w:rPr>
        <w:t>各县区公告发布网址及联系电话</w:t>
      </w:r>
    </w:p>
    <w:p>
      <w:pPr>
        <w:spacing w:after="100" w:afterAutospacing="1" w:line="660" w:lineRule="exact"/>
        <w:rPr>
          <w:rFonts w:ascii="方正小标宋_GBK" w:hAnsi="Times New Roman" w:eastAsia="方正小标宋_GBK" w:cs="Times New Roman"/>
          <w:sz w:val="36"/>
          <w:szCs w:val="36"/>
        </w:rPr>
      </w:pPr>
      <w:r>
        <w:rPr>
          <w:rFonts w:hint="eastAsia" w:ascii="仿宋" w:hAnsi="仿宋" w:eastAsia="仿宋" w:cs="仿宋"/>
          <w:color w:val="212121"/>
          <w:sz w:val="32"/>
          <w:szCs w:val="32"/>
        </w:rPr>
        <w:t xml:space="preserve">  </w:t>
      </w:r>
      <w:r>
        <w:rPr>
          <w:rFonts w:hint="eastAsia" w:ascii="仿宋" w:hAnsi="仿宋" w:eastAsia="仿宋" w:cs="仿宋"/>
          <w:color w:val="212121"/>
          <w:sz w:val="32"/>
          <w:szCs w:val="32"/>
          <w:lang w:val="en-US" w:eastAsia="zh-CN"/>
        </w:rPr>
        <w:t xml:space="preserve">   </w:t>
      </w:r>
      <w:r>
        <w:rPr>
          <w:rFonts w:hint="eastAsia" w:ascii="仿宋" w:hAnsi="仿宋" w:eastAsia="仿宋" w:cs="仿宋"/>
          <w:color w:val="212121"/>
          <w:kern w:val="0"/>
          <w:sz w:val="32"/>
          <w:szCs w:val="32"/>
        </w:rPr>
        <w:t>安徽省教师资格申请人员体检表</w:t>
      </w: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bookmarkStart w:id="0" w:name="_GoBack"/>
      <w:bookmarkEnd w:id="0"/>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325"/>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2266" w:type="dxa"/>
            <w:vAlign w:val="center"/>
          </w:tcPr>
          <w:p>
            <w:pPr>
              <w:spacing w:line="240" w:lineRule="atLeast"/>
              <w:jc w:val="center"/>
              <w:rPr>
                <w:rFonts w:ascii="仿宋" w:hAnsi="仿宋" w:eastAsia="仿宋" w:cs="仿宋"/>
                <w:color w:val="212121"/>
                <w:sz w:val="32"/>
                <w:szCs w:val="32"/>
              </w:rPr>
            </w:pPr>
            <w:r>
              <w:rPr>
                <w:rFonts w:hint="eastAsia" w:ascii="宋体" w:hAnsi="宋体" w:cs="宋体"/>
                <w:b/>
                <w:bCs/>
                <w:color w:val="000000"/>
              </w:rPr>
              <w:t>教师资格认定名称机构名称</w:t>
            </w:r>
          </w:p>
        </w:tc>
        <w:tc>
          <w:tcPr>
            <w:tcW w:w="2325" w:type="dxa"/>
            <w:vAlign w:val="center"/>
          </w:tcPr>
          <w:p>
            <w:pPr>
              <w:spacing w:line="240" w:lineRule="atLeast"/>
              <w:jc w:val="center"/>
              <w:rPr>
                <w:rFonts w:ascii="仿宋" w:hAnsi="仿宋" w:eastAsia="仿宋" w:cs="仿宋"/>
                <w:color w:val="212121"/>
                <w:sz w:val="32"/>
                <w:szCs w:val="32"/>
              </w:rPr>
            </w:pPr>
            <w:r>
              <w:rPr>
                <w:rFonts w:hint="eastAsia" w:ascii="宋体" w:hAnsi="宋体" w:cs="宋体"/>
                <w:b/>
                <w:bCs/>
                <w:color w:val="000000"/>
              </w:rPr>
              <w:t>联系电话</w:t>
            </w:r>
          </w:p>
        </w:tc>
        <w:tc>
          <w:tcPr>
            <w:tcW w:w="3931" w:type="dxa"/>
            <w:vAlign w:val="center"/>
          </w:tcPr>
          <w:p>
            <w:pPr>
              <w:spacing w:line="240" w:lineRule="atLeast"/>
              <w:jc w:val="center"/>
              <w:rPr>
                <w:rFonts w:ascii="仿宋" w:hAnsi="仿宋" w:eastAsia="仿宋" w:cs="仿宋"/>
                <w:color w:val="212121"/>
                <w:sz w:val="32"/>
                <w:szCs w:val="32"/>
              </w:rPr>
            </w:pPr>
            <w:r>
              <w:rPr>
                <w:rFonts w:hint="eastAsia" w:ascii="宋体" w:hAnsi="宋体" w:cs="宋体"/>
                <w:b/>
                <w:bCs/>
                <w:color w:val="000000"/>
              </w:rPr>
              <w:t>公告发布网址及栏目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2266" w:type="dxa"/>
          </w:tcPr>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埇桥区</w:t>
            </w:r>
          </w:p>
        </w:tc>
        <w:tc>
          <w:tcPr>
            <w:tcW w:w="2325"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0557-3025718</w:t>
            </w:r>
          </w:p>
        </w:tc>
        <w:tc>
          <w:tcPr>
            <w:tcW w:w="3931"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 xml:space="preserve">http://jtj.szyq.gov.cn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2266" w:type="dxa"/>
          </w:tcPr>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砀山县</w:t>
            </w:r>
          </w:p>
        </w:tc>
        <w:tc>
          <w:tcPr>
            <w:tcW w:w="2325"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0557-8021227</w:t>
            </w:r>
          </w:p>
        </w:tc>
        <w:tc>
          <w:tcPr>
            <w:tcW w:w="3931"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 xml:space="preserve">http://old.dangshan.gov.cn/index.php/Unit/index/unit_code/LC004 </w:t>
            </w:r>
          </w:p>
          <w:p>
            <w:pPr>
              <w:pStyle w:val="5"/>
              <w:widowControl/>
              <w:jc w:val="both"/>
              <w:rPr>
                <w:rFonts w:ascii="仿宋" w:hAnsi="仿宋" w:eastAsia="仿宋" w:cs="仿宋"/>
                <w:color w:val="21212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2266" w:type="dxa"/>
          </w:tcPr>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灵璧县</w:t>
            </w:r>
          </w:p>
        </w:tc>
        <w:tc>
          <w:tcPr>
            <w:tcW w:w="2325"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0557-2379026</w:t>
            </w:r>
          </w:p>
          <w:p>
            <w:pPr>
              <w:pStyle w:val="5"/>
              <w:widowControl/>
              <w:jc w:val="both"/>
              <w:rPr>
                <w:rFonts w:ascii="仿宋" w:hAnsi="仿宋" w:eastAsia="仿宋" w:cs="仿宋"/>
                <w:color w:val="212121"/>
                <w:sz w:val="28"/>
                <w:szCs w:val="28"/>
              </w:rPr>
            </w:pPr>
          </w:p>
        </w:tc>
        <w:tc>
          <w:tcPr>
            <w:tcW w:w="3931"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http://lbjy.lingbi.gov.cn/ </w:t>
            </w:r>
          </w:p>
          <w:p>
            <w:pPr>
              <w:pStyle w:val="5"/>
              <w:widowControl/>
              <w:jc w:val="both"/>
              <w:rPr>
                <w:rFonts w:ascii="仿宋" w:hAnsi="仿宋" w:eastAsia="仿宋" w:cs="仿宋"/>
                <w:color w:val="21212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tcPr>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泗县</w:t>
            </w:r>
          </w:p>
        </w:tc>
        <w:tc>
          <w:tcPr>
            <w:tcW w:w="2325"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0557-7022151；0557-7020081</w:t>
            </w:r>
          </w:p>
          <w:p>
            <w:pPr>
              <w:pStyle w:val="5"/>
              <w:widowControl/>
              <w:jc w:val="both"/>
              <w:rPr>
                <w:rFonts w:ascii="仿宋" w:hAnsi="仿宋" w:eastAsia="仿宋" w:cs="仿宋"/>
                <w:color w:val="212121"/>
                <w:sz w:val="28"/>
                <w:szCs w:val="28"/>
              </w:rPr>
            </w:pPr>
          </w:p>
        </w:tc>
        <w:tc>
          <w:tcPr>
            <w:tcW w:w="3931"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http://xxgk.ahsx.gov.cn/SortHtml/199/Unit_11.html </w:t>
            </w:r>
          </w:p>
          <w:p>
            <w:pPr>
              <w:pStyle w:val="5"/>
              <w:widowControl/>
              <w:jc w:val="both"/>
              <w:rPr>
                <w:rFonts w:ascii="仿宋" w:hAnsi="仿宋" w:eastAsia="仿宋" w:cs="仿宋"/>
                <w:color w:val="21212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tcPr>
          <w:p>
            <w:pPr>
              <w:pStyle w:val="5"/>
              <w:widowControl/>
              <w:jc w:val="both"/>
              <w:rPr>
                <w:rFonts w:ascii="仿宋" w:hAnsi="仿宋" w:eastAsia="仿宋" w:cs="仿宋"/>
                <w:color w:val="212121"/>
                <w:sz w:val="32"/>
                <w:szCs w:val="32"/>
              </w:rPr>
            </w:pPr>
            <w:r>
              <w:rPr>
                <w:rFonts w:hint="eastAsia" w:ascii="仿宋" w:hAnsi="仿宋" w:eastAsia="仿宋" w:cs="仿宋"/>
                <w:color w:val="212121"/>
                <w:sz w:val="32"/>
                <w:szCs w:val="32"/>
              </w:rPr>
              <w:t>萧县</w:t>
            </w:r>
          </w:p>
        </w:tc>
        <w:tc>
          <w:tcPr>
            <w:tcW w:w="2325"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0557-5023437</w:t>
            </w:r>
          </w:p>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0557-5061302</w:t>
            </w:r>
          </w:p>
          <w:p>
            <w:pPr>
              <w:pStyle w:val="5"/>
              <w:widowControl/>
              <w:jc w:val="both"/>
              <w:rPr>
                <w:rFonts w:ascii="仿宋" w:hAnsi="仿宋" w:eastAsia="仿宋" w:cs="仿宋"/>
                <w:color w:val="212121"/>
                <w:sz w:val="28"/>
                <w:szCs w:val="28"/>
              </w:rPr>
            </w:pPr>
          </w:p>
        </w:tc>
        <w:tc>
          <w:tcPr>
            <w:tcW w:w="3931" w:type="dxa"/>
          </w:tcPr>
          <w:p>
            <w:pPr>
              <w:pStyle w:val="5"/>
              <w:widowControl/>
              <w:jc w:val="both"/>
              <w:rPr>
                <w:rFonts w:ascii="仿宋" w:hAnsi="仿宋" w:eastAsia="仿宋" w:cs="仿宋"/>
                <w:color w:val="212121"/>
                <w:sz w:val="28"/>
                <w:szCs w:val="28"/>
              </w:rPr>
            </w:pPr>
            <w:r>
              <w:rPr>
                <w:rFonts w:hint="eastAsia" w:ascii="仿宋" w:hAnsi="仿宋" w:eastAsia="仿宋" w:cs="仿宋"/>
                <w:color w:val="212121"/>
                <w:sz w:val="28"/>
                <w:szCs w:val="28"/>
              </w:rPr>
              <w:t>http://xxgk.ahxx.gov.cn/ </w:t>
            </w:r>
          </w:p>
          <w:p>
            <w:pPr>
              <w:pStyle w:val="5"/>
              <w:widowControl/>
              <w:jc w:val="both"/>
              <w:rPr>
                <w:rFonts w:ascii="仿宋" w:hAnsi="仿宋" w:eastAsia="仿宋" w:cs="仿宋"/>
                <w:color w:val="212121"/>
                <w:sz w:val="28"/>
                <w:szCs w:val="28"/>
              </w:rPr>
            </w:pPr>
          </w:p>
        </w:tc>
      </w:tr>
    </w:tbl>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p>
    <w:p>
      <w:pPr>
        <w:pStyle w:val="5"/>
        <w:widowControl/>
        <w:jc w:val="both"/>
        <w:rPr>
          <w:rFonts w:ascii="仿宋" w:hAnsi="仿宋" w:eastAsia="仿宋" w:cs="仿宋"/>
          <w:color w:val="212121"/>
          <w:sz w:val="32"/>
          <w:szCs w:val="32"/>
        </w:rPr>
      </w:pPr>
    </w:p>
    <w:p>
      <w:pPr>
        <w:spacing w:after="100" w:afterAutospacing="1" w:line="660" w:lineRule="exact"/>
        <w:jc w:val="center"/>
        <w:rPr>
          <w:rFonts w:ascii="方正小标宋_GBK" w:hAnsi="Times New Roman" w:eastAsia="方正小标宋_GBK" w:cs="Times New Roman"/>
          <w:sz w:val="36"/>
          <w:szCs w:val="36"/>
        </w:rPr>
      </w:pPr>
      <w:r>
        <w:rPr>
          <w:rFonts w:hint="eastAsia" w:ascii="方正小标宋_GBK" w:hAnsi="Times New Roman" w:eastAsia="方正小标宋_GBK" w:cs="方正小标宋_GBK"/>
          <w:sz w:val="36"/>
          <w:szCs w:val="36"/>
        </w:rPr>
        <w:t>安徽省教师资格申请人员体检表</w:t>
      </w:r>
    </w:p>
    <w:tbl>
      <w:tblPr>
        <w:tblStyle w:val="14"/>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84"/>
        <w:gridCol w:w="712"/>
        <w:gridCol w:w="128"/>
        <w:gridCol w:w="380"/>
        <w:gridCol w:w="43"/>
        <w:gridCol w:w="169"/>
        <w:gridCol w:w="856"/>
        <w:gridCol w:w="233"/>
        <w:gridCol w:w="359"/>
        <w:gridCol w:w="128"/>
        <w:gridCol w:w="603"/>
        <w:gridCol w:w="297"/>
        <w:gridCol w:w="720"/>
        <w:gridCol w:w="540"/>
        <w:gridCol w:w="1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p>
        </w:tc>
        <w:tc>
          <w:tcPr>
            <w:tcW w:w="1184" w:type="dxa"/>
            <w:vAlign w:val="center"/>
          </w:tcPr>
          <w:p>
            <w:pPr>
              <w:suppressAutoHyphens/>
              <w:jc w:val="center"/>
              <w:rPr>
                <w:rFonts w:cs="Times New Roman" w:asciiTheme="minorEastAsia" w:hAnsiTheme="minorEastAsia" w:eastAsiaTheme="minorEastAsia"/>
                <w:sz w:val="24"/>
                <w:szCs w:val="24"/>
              </w:rPr>
            </w:pPr>
          </w:p>
        </w:tc>
        <w:tc>
          <w:tcPr>
            <w:tcW w:w="712"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年龄</w:t>
            </w:r>
          </w:p>
        </w:tc>
        <w:tc>
          <w:tcPr>
            <w:tcW w:w="720" w:type="dxa"/>
            <w:gridSpan w:val="4"/>
            <w:vAlign w:val="center"/>
          </w:tcPr>
          <w:p>
            <w:pPr>
              <w:suppressAutoHyphens/>
              <w:jc w:val="center"/>
              <w:rPr>
                <w:rFonts w:cs="Times New Roman" w:asciiTheme="minorEastAsia" w:hAnsiTheme="minorEastAsia" w:eastAsiaTheme="minorEastAsia"/>
                <w:sz w:val="24"/>
                <w:szCs w:val="24"/>
              </w:rPr>
            </w:pPr>
          </w:p>
        </w:tc>
        <w:tc>
          <w:tcPr>
            <w:tcW w:w="856"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性别</w:t>
            </w:r>
          </w:p>
        </w:tc>
        <w:tc>
          <w:tcPr>
            <w:tcW w:w="720" w:type="dxa"/>
            <w:gridSpan w:val="3"/>
            <w:vAlign w:val="center"/>
          </w:tcPr>
          <w:p>
            <w:pPr>
              <w:suppressAutoHyphens/>
              <w:jc w:val="center"/>
              <w:rPr>
                <w:rFonts w:cs="Times New Roman" w:asciiTheme="minorEastAsia" w:hAnsiTheme="minorEastAsia" w:eastAsiaTheme="minorEastAsia"/>
                <w:sz w:val="24"/>
                <w:szCs w:val="24"/>
              </w:rPr>
            </w:pPr>
          </w:p>
        </w:tc>
        <w:tc>
          <w:tcPr>
            <w:tcW w:w="900" w:type="dxa"/>
            <w:gridSpan w:val="2"/>
            <w:vAlign w:val="center"/>
          </w:tcPr>
          <w:p>
            <w:pPr>
              <w:suppressAutoHyphens/>
              <w:ind w:left="75"/>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婚否</w:t>
            </w:r>
          </w:p>
        </w:tc>
        <w:tc>
          <w:tcPr>
            <w:tcW w:w="720" w:type="dxa"/>
            <w:vAlign w:val="center"/>
          </w:tcPr>
          <w:p>
            <w:pPr>
              <w:suppressAutoHyphens/>
              <w:jc w:val="center"/>
              <w:rPr>
                <w:rFonts w:cs="Times New Roman" w:asciiTheme="minorEastAsia" w:hAnsiTheme="minorEastAsia" w:eastAsiaTheme="minorEastAsia"/>
                <w:sz w:val="24"/>
                <w:szCs w:val="24"/>
              </w:rPr>
            </w:pPr>
          </w:p>
        </w:tc>
        <w:tc>
          <w:tcPr>
            <w:tcW w:w="720"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民族</w:t>
            </w:r>
          </w:p>
        </w:tc>
        <w:tc>
          <w:tcPr>
            <w:tcW w:w="900" w:type="dxa"/>
            <w:vAlign w:val="center"/>
          </w:tcPr>
          <w:p>
            <w:pPr>
              <w:suppressAutoHyphens/>
              <w:jc w:val="center"/>
              <w:rPr>
                <w:rFonts w:cs="Times New Roman" w:asciiTheme="minorEastAsia" w:hAnsiTheme="minorEastAsia" w:eastAsiaTheme="minorEastAsia"/>
                <w:sz w:val="24"/>
                <w:szCs w:val="24"/>
              </w:rPr>
            </w:pPr>
          </w:p>
        </w:tc>
        <w:tc>
          <w:tcPr>
            <w:tcW w:w="1440" w:type="dxa"/>
            <w:vMerge w:val="restart"/>
            <w:vAlign w:val="center"/>
          </w:tcPr>
          <w:p>
            <w:pPr>
              <w:suppressAutoHyphens/>
              <w:ind w:firstLine="240" w:firstLineChars="1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Align w:val="center"/>
          </w:tcPr>
          <w:p>
            <w:pPr>
              <w:suppressAutoHyphens/>
              <w:spacing w:line="320" w:lineRule="exact"/>
              <w:jc w:val="center"/>
              <w:rPr>
                <w:rFonts w:cs="Times New Roman" w:asciiTheme="minorEastAsia" w:hAnsiTheme="minorEastAsia" w:eastAsiaTheme="minorEastAsia"/>
                <w:bCs/>
                <w:sz w:val="24"/>
                <w:szCs w:val="24"/>
              </w:rPr>
            </w:pPr>
            <w:r>
              <w:rPr>
                <w:rFonts w:hint="eastAsia" w:cs="仿宋_GB2312" w:asciiTheme="minorEastAsia" w:hAnsiTheme="minorEastAsia" w:eastAsiaTheme="minorEastAsia"/>
                <w:bCs/>
                <w:sz w:val="24"/>
                <w:szCs w:val="24"/>
              </w:rPr>
              <w:t>申报学科</w:t>
            </w:r>
          </w:p>
        </w:tc>
        <w:tc>
          <w:tcPr>
            <w:tcW w:w="1184" w:type="dxa"/>
            <w:vAlign w:val="center"/>
          </w:tcPr>
          <w:p>
            <w:pPr>
              <w:suppressAutoHyphens/>
              <w:jc w:val="center"/>
              <w:rPr>
                <w:rFonts w:cs="Times New Roman" w:asciiTheme="minorEastAsia" w:hAnsiTheme="minorEastAsia" w:eastAsiaTheme="minorEastAsia"/>
                <w:bCs/>
                <w:sz w:val="24"/>
                <w:szCs w:val="24"/>
              </w:rPr>
            </w:pPr>
          </w:p>
        </w:tc>
        <w:tc>
          <w:tcPr>
            <w:tcW w:w="1263" w:type="dxa"/>
            <w:gridSpan w:val="4"/>
            <w:vAlign w:val="center"/>
          </w:tcPr>
          <w:p>
            <w:pPr>
              <w:suppressAutoHyphens/>
              <w:jc w:val="center"/>
              <w:rPr>
                <w:rFonts w:cs="Times New Roman" w:asciiTheme="minorEastAsia" w:hAnsiTheme="minorEastAsia" w:eastAsiaTheme="minorEastAsia"/>
                <w:bCs/>
                <w:sz w:val="24"/>
                <w:szCs w:val="24"/>
              </w:rPr>
            </w:pPr>
            <w:r>
              <w:rPr>
                <w:rFonts w:hint="eastAsia" w:cs="仿宋_GB2312" w:asciiTheme="minorEastAsia" w:hAnsiTheme="minorEastAsia" w:eastAsiaTheme="minorEastAsia"/>
                <w:bCs/>
                <w:sz w:val="24"/>
                <w:szCs w:val="24"/>
              </w:rPr>
              <w:t>身份证号</w:t>
            </w:r>
          </w:p>
        </w:tc>
        <w:tc>
          <w:tcPr>
            <w:tcW w:w="2645" w:type="dxa"/>
            <w:gridSpan w:val="7"/>
            <w:vAlign w:val="center"/>
          </w:tcPr>
          <w:p>
            <w:pPr>
              <w:suppressAutoHyphens/>
              <w:jc w:val="center"/>
              <w:rPr>
                <w:rFonts w:cs="Times New Roman" w:asciiTheme="minorEastAsia" w:hAnsiTheme="minorEastAsia" w:eastAsiaTheme="minorEastAsia"/>
                <w:sz w:val="24"/>
                <w:szCs w:val="24"/>
              </w:rPr>
            </w:pPr>
          </w:p>
        </w:tc>
        <w:tc>
          <w:tcPr>
            <w:tcW w:w="1260"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联系电话</w:t>
            </w:r>
          </w:p>
        </w:tc>
        <w:tc>
          <w:tcPr>
            <w:tcW w:w="1080" w:type="dxa"/>
            <w:gridSpan w:val="2"/>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987" w:type="dxa"/>
            <w:gridSpan w:val="2"/>
            <w:vAlign w:val="center"/>
          </w:tcPr>
          <w:p>
            <w:pPr>
              <w:spacing w:line="52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既往病史（本人</w:t>
            </w:r>
          </w:p>
          <w:p>
            <w:pPr>
              <w:suppressAutoHyphens/>
              <w:spacing w:line="52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如实填写）</w:t>
            </w:r>
          </w:p>
        </w:tc>
        <w:tc>
          <w:tcPr>
            <w:tcW w:w="6248" w:type="dxa"/>
            <w:gridSpan w:val="1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03" w:type="dxa"/>
            <w:vMerge w:val="restart"/>
            <w:vAlign w:val="center"/>
          </w:tcPr>
          <w:p>
            <w:pPr>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五</w:t>
            </w: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官</w:t>
            </w: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科</w:t>
            </w:r>
          </w:p>
        </w:tc>
        <w:tc>
          <w:tcPr>
            <w:tcW w:w="1184" w:type="dxa"/>
            <w:vMerge w:val="restart"/>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裸眼视力</w:t>
            </w:r>
          </w:p>
        </w:tc>
        <w:tc>
          <w:tcPr>
            <w:tcW w:w="1220" w:type="dxa"/>
            <w:gridSpan w:val="3"/>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右</w:t>
            </w:r>
          </w:p>
        </w:tc>
        <w:tc>
          <w:tcPr>
            <w:tcW w:w="1301" w:type="dxa"/>
            <w:gridSpan w:val="4"/>
            <w:vMerge w:val="restart"/>
            <w:tcBorders>
              <w:left w:val="nil"/>
            </w:tcBorders>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矫正视力</w:t>
            </w:r>
          </w:p>
        </w:tc>
        <w:tc>
          <w:tcPr>
            <w:tcW w:w="1387"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右</w:t>
            </w:r>
          </w:p>
        </w:tc>
        <w:tc>
          <w:tcPr>
            <w:tcW w:w="1260" w:type="dxa"/>
            <w:gridSpan w:val="2"/>
            <w:vMerge w:val="restart"/>
            <w:vAlign w:val="center"/>
          </w:tcPr>
          <w:p>
            <w:pPr>
              <w:widowControl/>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矫正度数</w:t>
            </w:r>
          </w:p>
        </w:tc>
        <w:tc>
          <w:tcPr>
            <w:tcW w:w="1080"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右</w:t>
            </w:r>
          </w:p>
        </w:tc>
        <w:tc>
          <w:tcPr>
            <w:tcW w:w="1440" w:type="dxa"/>
            <w:vMerge w:val="restart"/>
          </w:tcPr>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医师意见：</w:t>
            </w: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Merge w:val="continue"/>
            <w:vAlign w:val="center"/>
          </w:tcPr>
          <w:p>
            <w:pPr>
              <w:widowControl/>
              <w:jc w:val="left"/>
              <w:rPr>
                <w:rFonts w:cs="Times New Roman" w:asciiTheme="minorEastAsia" w:hAnsiTheme="minorEastAsia" w:eastAsiaTheme="minorEastAsia"/>
                <w:sz w:val="24"/>
                <w:szCs w:val="24"/>
              </w:rPr>
            </w:pPr>
          </w:p>
        </w:tc>
        <w:tc>
          <w:tcPr>
            <w:tcW w:w="1220" w:type="dxa"/>
            <w:gridSpan w:val="3"/>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左</w:t>
            </w:r>
          </w:p>
        </w:tc>
        <w:tc>
          <w:tcPr>
            <w:tcW w:w="1301" w:type="dxa"/>
            <w:gridSpan w:val="4"/>
            <w:vMerge w:val="continue"/>
            <w:tcBorders>
              <w:left w:val="nil"/>
            </w:tcBorders>
            <w:vAlign w:val="center"/>
          </w:tcPr>
          <w:p>
            <w:pPr>
              <w:widowControl/>
              <w:jc w:val="left"/>
              <w:rPr>
                <w:rFonts w:cs="Times New Roman" w:asciiTheme="minorEastAsia" w:hAnsiTheme="minorEastAsia" w:eastAsiaTheme="minorEastAsia"/>
                <w:sz w:val="24"/>
                <w:szCs w:val="24"/>
              </w:rPr>
            </w:pPr>
          </w:p>
        </w:tc>
        <w:tc>
          <w:tcPr>
            <w:tcW w:w="1387"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左</w:t>
            </w:r>
          </w:p>
        </w:tc>
        <w:tc>
          <w:tcPr>
            <w:tcW w:w="1260" w:type="dxa"/>
            <w:gridSpan w:val="2"/>
            <w:vMerge w:val="continue"/>
            <w:vAlign w:val="center"/>
          </w:tcPr>
          <w:p>
            <w:pPr>
              <w:widowControl/>
              <w:jc w:val="left"/>
              <w:rPr>
                <w:rFonts w:cs="Times New Roman" w:asciiTheme="minorEastAsia" w:hAnsiTheme="minorEastAsia" w:eastAsiaTheme="minorEastAsia"/>
                <w:sz w:val="24"/>
                <w:szCs w:val="24"/>
              </w:rPr>
            </w:pPr>
          </w:p>
        </w:tc>
        <w:tc>
          <w:tcPr>
            <w:tcW w:w="1080"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左</w:t>
            </w: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辨色力</w:t>
            </w:r>
          </w:p>
        </w:tc>
        <w:tc>
          <w:tcPr>
            <w:tcW w:w="2521" w:type="dxa"/>
            <w:gridSpan w:val="7"/>
            <w:vAlign w:val="center"/>
          </w:tcPr>
          <w:p>
            <w:pPr>
              <w:suppressAutoHyphens/>
              <w:jc w:val="center"/>
              <w:rPr>
                <w:rFonts w:cs="Times New Roman" w:asciiTheme="minorEastAsia" w:hAnsiTheme="minorEastAsia" w:eastAsiaTheme="minorEastAsia"/>
                <w:sz w:val="24"/>
                <w:szCs w:val="24"/>
              </w:rPr>
            </w:pPr>
          </w:p>
        </w:tc>
        <w:tc>
          <w:tcPr>
            <w:tcW w:w="1387"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眼病</w:t>
            </w:r>
          </w:p>
        </w:tc>
        <w:tc>
          <w:tcPr>
            <w:tcW w:w="2340" w:type="dxa"/>
            <w:gridSpan w:val="4"/>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听力</w:t>
            </w:r>
          </w:p>
        </w:tc>
        <w:tc>
          <w:tcPr>
            <w:tcW w:w="2880" w:type="dxa"/>
            <w:gridSpan w:val="8"/>
            <w:vAlign w:val="center"/>
          </w:tcPr>
          <w:p>
            <w:pPr>
              <w:suppressAutoHyphens/>
              <w:ind w:firstLine="240" w:firstLineChars="100"/>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左耳米</w:t>
            </w:r>
          </w:p>
        </w:tc>
        <w:tc>
          <w:tcPr>
            <w:tcW w:w="3368" w:type="dxa"/>
            <w:gridSpan w:val="7"/>
            <w:vAlign w:val="center"/>
          </w:tcPr>
          <w:p>
            <w:pPr>
              <w:suppressAutoHyphens/>
              <w:ind w:firstLine="240" w:firstLineChars="100"/>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右耳米</w:t>
            </w: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鼻</w:t>
            </w:r>
          </w:p>
        </w:tc>
        <w:tc>
          <w:tcPr>
            <w:tcW w:w="840" w:type="dxa"/>
            <w:gridSpan w:val="2"/>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嗅觉</w:t>
            </w:r>
          </w:p>
        </w:tc>
        <w:tc>
          <w:tcPr>
            <w:tcW w:w="1448" w:type="dxa"/>
            <w:gridSpan w:val="4"/>
            <w:vAlign w:val="center"/>
          </w:tcPr>
          <w:p>
            <w:pPr>
              <w:suppressAutoHyphens/>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鼻及鼻窦</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面部</w:t>
            </w:r>
          </w:p>
        </w:tc>
        <w:tc>
          <w:tcPr>
            <w:tcW w:w="2288" w:type="dxa"/>
            <w:gridSpan w:val="6"/>
            <w:vAlign w:val="center"/>
          </w:tcPr>
          <w:p>
            <w:pPr>
              <w:suppressAutoHyphens/>
              <w:jc w:val="center"/>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咽喉</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口腔唇腭</w:t>
            </w:r>
          </w:p>
        </w:tc>
        <w:tc>
          <w:tcPr>
            <w:tcW w:w="2288" w:type="dxa"/>
            <w:gridSpan w:val="6"/>
            <w:vAlign w:val="center"/>
          </w:tcPr>
          <w:p>
            <w:pPr>
              <w:suppressAutoHyphens/>
              <w:jc w:val="center"/>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齿</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其它</w:t>
            </w:r>
          </w:p>
        </w:tc>
        <w:tc>
          <w:tcPr>
            <w:tcW w:w="6248" w:type="dxa"/>
            <w:gridSpan w:val="1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03" w:type="dxa"/>
            <w:vMerge w:val="restart"/>
            <w:vAlign w:val="center"/>
          </w:tcPr>
          <w:p>
            <w:pPr>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外</w:t>
            </w: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科</w:t>
            </w: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身高</w:t>
            </w:r>
          </w:p>
        </w:tc>
        <w:tc>
          <w:tcPr>
            <w:tcW w:w="2288" w:type="dxa"/>
            <w:gridSpan w:val="6"/>
            <w:vAlign w:val="center"/>
          </w:tcPr>
          <w:p>
            <w:pPr>
              <w:suppressAutoHyphens/>
              <w:jc w:val="center"/>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 xml:space="preserve">            Cm</w:t>
            </w: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体重</w:t>
            </w:r>
          </w:p>
        </w:tc>
        <w:tc>
          <w:tcPr>
            <w:tcW w:w="2637" w:type="dxa"/>
            <w:gridSpan w:val="5"/>
            <w:vAlign w:val="center"/>
          </w:tcPr>
          <w:p>
            <w:pPr>
              <w:suppressAutoHyphens/>
              <w:ind w:firstLine="1920" w:firstLineChars="8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Kg</w:t>
            </w:r>
          </w:p>
        </w:tc>
        <w:tc>
          <w:tcPr>
            <w:tcW w:w="1440" w:type="dxa"/>
            <w:vMerge w:val="restart"/>
          </w:tcPr>
          <w:p>
            <w:pP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医师意见：</w:t>
            </w: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淋巴</w:t>
            </w:r>
          </w:p>
        </w:tc>
        <w:tc>
          <w:tcPr>
            <w:tcW w:w="2288" w:type="dxa"/>
            <w:gridSpan w:val="6"/>
            <w:vAlign w:val="center"/>
          </w:tcPr>
          <w:p>
            <w:pPr>
              <w:suppressAutoHyphens/>
              <w:jc w:val="center"/>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脊柱</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四肢</w:t>
            </w:r>
          </w:p>
        </w:tc>
        <w:tc>
          <w:tcPr>
            <w:tcW w:w="2288" w:type="dxa"/>
            <w:gridSpan w:val="6"/>
            <w:vAlign w:val="center"/>
          </w:tcPr>
          <w:p>
            <w:pPr>
              <w:suppressAutoHyphens/>
              <w:jc w:val="center"/>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关节</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皮肤</w:t>
            </w:r>
          </w:p>
        </w:tc>
        <w:tc>
          <w:tcPr>
            <w:tcW w:w="2288" w:type="dxa"/>
            <w:gridSpan w:val="6"/>
            <w:vAlign w:val="center"/>
          </w:tcPr>
          <w:p>
            <w:pPr>
              <w:suppressAutoHyphens/>
              <w:jc w:val="center"/>
              <w:rPr>
                <w:rFonts w:cs="Times New Roman" w:asciiTheme="minorEastAsia" w:hAnsiTheme="minorEastAsia" w:eastAsiaTheme="minorEastAsia"/>
                <w:sz w:val="24"/>
                <w:szCs w:val="24"/>
              </w:rPr>
            </w:pPr>
          </w:p>
        </w:tc>
        <w:tc>
          <w:tcPr>
            <w:tcW w:w="1323" w:type="dxa"/>
            <w:gridSpan w:val="4"/>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颈部</w:t>
            </w:r>
          </w:p>
        </w:tc>
        <w:tc>
          <w:tcPr>
            <w:tcW w:w="2637" w:type="dxa"/>
            <w:gridSpan w:val="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803" w:type="dxa"/>
            <w:vMerge w:val="continue"/>
            <w:vAlign w:val="center"/>
          </w:tcPr>
          <w:p>
            <w:pPr>
              <w:widowControl/>
              <w:jc w:val="left"/>
              <w:rPr>
                <w:rFonts w:cs="Times New Roman" w:asciiTheme="minorEastAsia" w:hAnsiTheme="minorEastAsia" w:eastAsiaTheme="minorEastAsia"/>
                <w:sz w:val="24"/>
                <w:szCs w:val="24"/>
              </w:rPr>
            </w:pPr>
          </w:p>
        </w:tc>
        <w:tc>
          <w:tcPr>
            <w:tcW w:w="1184" w:type="dxa"/>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其它</w:t>
            </w:r>
          </w:p>
        </w:tc>
        <w:tc>
          <w:tcPr>
            <w:tcW w:w="6248" w:type="dxa"/>
            <w:gridSpan w:val="15"/>
            <w:vAlign w:val="center"/>
          </w:tcPr>
          <w:p>
            <w:pPr>
              <w:suppressAutoHyphens/>
              <w:jc w:val="center"/>
              <w:rPr>
                <w:rFonts w:cs="Times New Roman" w:asciiTheme="minorEastAsia" w:hAnsiTheme="minorEastAsia" w:eastAsiaTheme="minorEastAsia"/>
                <w:sz w:val="24"/>
                <w:szCs w:val="24"/>
              </w:rPr>
            </w:pPr>
          </w:p>
        </w:tc>
        <w:tc>
          <w:tcPr>
            <w:tcW w:w="1440" w:type="dxa"/>
            <w:vMerge w:val="continue"/>
            <w:vAlign w:val="center"/>
          </w:tcPr>
          <w:p>
            <w:pPr>
              <w:widowControl/>
              <w:jc w:val="left"/>
              <w:rPr>
                <w:rFonts w:cs="Times New Roman" w:asciiTheme="minorEastAsia" w:hAnsiTheme="minorEastAsia" w:eastAsiaTheme="minorEastAsia"/>
                <w:sz w:val="24"/>
                <w:szCs w:val="24"/>
              </w:rPr>
            </w:pPr>
          </w:p>
        </w:tc>
      </w:tr>
    </w:tbl>
    <w:p>
      <w:pP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（粘贴检查单处）</w:t>
      </w:r>
    </w:p>
    <w:tbl>
      <w:tblPr>
        <w:tblStyle w:val="14"/>
        <w:tblW w:w="9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726"/>
        <w:gridCol w:w="1060"/>
        <w:gridCol w:w="5598"/>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restart"/>
            <w:vAlign w:val="center"/>
          </w:tcPr>
          <w:p>
            <w:pPr>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内</w:t>
            </w: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jc w:val="center"/>
              <w:rPr>
                <w:rFonts w:cs="Times New Roman" w:asciiTheme="minorEastAsia" w:hAnsiTheme="minorEastAsia" w:eastAsiaTheme="minorEastAsia"/>
                <w:sz w:val="24"/>
                <w:szCs w:val="24"/>
              </w:rPr>
            </w:pPr>
          </w:p>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科</w:t>
            </w: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营养状况</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restart"/>
          </w:tcPr>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医师意见：</w:t>
            </w: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rPr>
                <w:rFonts w:cs="Times New Roman" w:asciiTheme="minorEastAsia" w:hAnsiTheme="minorEastAsia" w:eastAsiaTheme="minorEastAsia"/>
                <w:sz w:val="24"/>
                <w:szCs w:val="24"/>
              </w:rPr>
            </w:pPr>
          </w:p>
          <w:p>
            <w:pPr>
              <w:widowControl/>
              <w:suppressAutoHyphens/>
              <w:jc w:val="left"/>
              <w:rPr>
                <w:rFonts w:cs="仿宋_GB2312" w:asciiTheme="minorEastAsia" w:hAnsiTheme="minorEastAsia" w:eastAsiaTheme="minorEastAsia"/>
                <w:sz w:val="24"/>
                <w:szCs w:val="24"/>
              </w:rPr>
            </w:pPr>
          </w:p>
          <w:p>
            <w:pPr>
              <w:widowControl/>
              <w:suppressAutoHyphens/>
              <w:jc w:val="lef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血压</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心脏及血管</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呼吸系统</w:t>
            </w:r>
          </w:p>
        </w:tc>
        <w:tc>
          <w:tcPr>
            <w:tcW w:w="5598" w:type="dxa"/>
            <w:vAlign w:val="center"/>
          </w:tcPr>
          <w:p>
            <w:pPr>
              <w:suppressAutoHyphens/>
              <w:ind w:firstLine="240" w:firstLineChars="100"/>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腹部器官</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神经及精神</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其它</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Merge w:val="continue"/>
            <w:vAlign w:val="center"/>
          </w:tcPr>
          <w:p>
            <w:pPr>
              <w:widowControl/>
              <w:jc w:val="left"/>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591" w:type="dxa"/>
            <w:gridSpan w:val="3"/>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心电图</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restart"/>
            <w:vAlign w:val="center"/>
          </w:tcPr>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实</w:t>
            </w:r>
          </w:p>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验</w:t>
            </w:r>
          </w:p>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室</w:t>
            </w:r>
          </w:p>
          <w:p>
            <w:pPr>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检</w:t>
            </w:r>
          </w:p>
          <w:p>
            <w:pPr>
              <w:suppressAutoHyphens/>
              <w:spacing w:line="36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查</w:t>
            </w: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血常规</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尿常规</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5" w:type="dxa"/>
            <w:vMerge w:val="continue"/>
            <w:vAlign w:val="center"/>
          </w:tcPr>
          <w:p>
            <w:pPr>
              <w:widowControl/>
              <w:jc w:val="left"/>
              <w:rPr>
                <w:rFonts w:cs="Times New Roman" w:asciiTheme="minorEastAsia" w:hAnsiTheme="minorEastAsia" w:eastAsiaTheme="minorEastAsia"/>
                <w:sz w:val="24"/>
                <w:szCs w:val="24"/>
              </w:rPr>
            </w:pPr>
          </w:p>
        </w:tc>
        <w:tc>
          <w:tcPr>
            <w:tcW w:w="1786"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转氨酶</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591" w:type="dxa"/>
            <w:gridSpan w:val="3"/>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胸部透视</w:t>
            </w:r>
          </w:p>
        </w:tc>
        <w:tc>
          <w:tcPr>
            <w:tcW w:w="5598" w:type="dxa"/>
            <w:vAlign w:val="center"/>
          </w:tcPr>
          <w:p>
            <w:pPr>
              <w:suppressAutoHyphens/>
              <w:jc w:val="center"/>
              <w:rPr>
                <w:rFonts w:cs="Times New Roman" w:asciiTheme="minorEastAsia" w:hAnsiTheme="minorEastAsia" w:eastAsiaTheme="minorEastAsia"/>
                <w:sz w:val="24"/>
                <w:szCs w:val="24"/>
              </w:rPr>
            </w:pPr>
          </w:p>
        </w:tc>
        <w:tc>
          <w:tcPr>
            <w:tcW w:w="1441" w:type="dxa"/>
            <w:vAlign w:val="center"/>
          </w:tcPr>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1531" w:type="dxa"/>
            <w:gridSpan w:val="2"/>
            <w:vAlign w:val="center"/>
          </w:tcPr>
          <w:p>
            <w:pPr>
              <w:suppressAutoHyphens/>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体检结论</w:t>
            </w:r>
          </w:p>
        </w:tc>
        <w:tc>
          <w:tcPr>
            <w:tcW w:w="8099" w:type="dxa"/>
            <w:gridSpan w:val="3"/>
            <w:vAlign w:val="center"/>
          </w:tcPr>
          <w:p>
            <w:pPr>
              <w:rPr>
                <w:rFonts w:cs="Times New Roman" w:asciiTheme="minorEastAsia" w:hAnsiTheme="minorEastAsia" w:eastAsiaTheme="minorEastAsia"/>
                <w:sz w:val="24"/>
                <w:szCs w:val="24"/>
              </w:rPr>
            </w:pPr>
          </w:p>
          <w:p>
            <w:pPr>
              <w:suppressAutoHyphens/>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负责医师签字：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jc w:val="center"/>
        </w:trPr>
        <w:tc>
          <w:tcPr>
            <w:tcW w:w="1531" w:type="dxa"/>
            <w:gridSpan w:val="2"/>
            <w:vAlign w:val="center"/>
          </w:tcPr>
          <w:p>
            <w:pPr>
              <w:spacing w:line="52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体检医院</w:t>
            </w:r>
          </w:p>
          <w:p>
            <w:pPr>
              <w:suppressAutoHyphens/>
              <w:spacing w:line="520" w:lineRule="exact"/>
              <w:jc w:val="center"/>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意见</w:t>
            </w:r>
          </w:p>
        </w:tc>
        <w:tc>
          <w:tcPr>
            <w:tcW w:w="8099" w:type="dxa"/>
            <w:gridSpan w:val="3"/>
            <w:vAlign w:val="center"/>
          </w:tcPr>
          <w:p>
            <w:pPr>
              <w:spacing w:line="520" w:lineRule="exact"/>
              <w:rPr>
                <w:rFonts w:cs="Times New Roman" w:asciiTheme="minorEastAsia" w:hAnsiTheme="minorEastAsia" w:eastAsiaTheme="minorEastAsia"/>
                <w:sz w:val="24"/>
                <w:szCs w:val="24"/>
              </w:rPr>
            </w:pPr>
          </w:p>
          <w:p>
            <w:pPr>
              <w:spacing w:line="520" w:lineRule="exac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体检医院公章</w:t>
            </w:r>
          </w:p>
          <w:p>
            <w:pPr>
              <w:suppressAutoHyphens/>
              <w:spacing w:line="520" w:lineRule="exact"/>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tc>
      </w:tr>
    </w:tbl>
    <w:p>
      <w:pPr>
        <w:rPr>
          <w:rFonts w:cs="Times New Roman" w:asciiTheme="minorEastAsia" w:hAnsiTheme="minorEastAsia" w:eastAsiaTheme="minorEastAsia"/>
          <w:sz w:val="24"/>
          <w:szCs w:val="24"/>
        </w:rPr>
      </w:pPr>
      <w:r>
        <w:rPr>
          <w:rFonts w:hint="eastAsia" w:cs="方正黑体_GBK" w:asciiTheme="minorEastAsia" w:hAnsiTheme="minorEastAsia" w:eastAsiaTheme="minorEastAsia"/>
          <w:sz w:val="24"/>
          <w:szCs w:val="24"/>
        </w:rPr>
        <w:t>说明：</w:t>
      </w:r>
      <w:r>
        <w:rPr>
          <w:rFonts w:hint="eastAsia" w:cs="仿宋" w:asciiTheme="minorEastAsia" w:hAnsiTheme="minorEastAsia" w:eastAsiaTheme="minorEastAsia"/>
          <w:sz w:val="24"/>
          <w:szCs w:val="24"/>
        </w:rPr>
        <w:t>负责医师作体检结论要填写“合格”、“不合格“两种结论，并说明原因。</w:t>
      </w:r>
    </w:p>
    <w:p>
      <w:pPr>
        <w:pStyle w:val="5"/>
        <w:widowControl/>
        <w:jc w:val="both"/>
        <w:rPr>
          <w:rFonts w:ascii="仿宋" w:hAnsi="仿宋" w:eastAsia="仿宋" w:cs="仿宋"/>
          <w:color w:val="21212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A765"/>
    <w:multiLevelType w:val="singleLevel"/>
    <w:tmpl w:val="58C8A765"/>
    <w:lvl w:ilvl="0" w:tentative="0">
      <w:start w:val="9"/>
      <w:numFmt w:val="decimal"/>
      <w:suff w:val="nothing"/>
      <w:lvlText w:val="（%1）"/>
      <w:lvlJc w:val="left"/>
    </w:lvl>
  </w:abstractNum>
  <w:abstractNum w:abstractNumId="1">
    <w:nsid w:val="58D091BA"/>
    <w:multiLevelType w:val="singleLevel"/>
    <w:tmpl w:val="58D091B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0E47"/>
    <w:rsid w:val="000B4AED"/>
    <w:rsid w:val="000D39BE"/>
    <w:rsid w:val="000E12E4"/>
    <w:rsid w:val="000F21FF"/>
    <w:rsid w:val="0010481C"/>
    <w:rsid w:val="00183043"/>
    <w:rsid w:val="001C4290"/>
    <w:rsid w:val="00232BF7"/>
    <w:rsid w:val="00254E27"/>
    <w:rsid w:val="002919B2"/>
    <w:rsid w:val="002E4EE5"/>
    <w:rsid w:val="002E7933"/>
    <w:rsid w:val="003047AD"/>
    <w:rsid w:val="00376791"/>
    <w:rsid w:val="00395879"/>
    <w:rsid w:val="003F2215"/>
    <w:rsid w:val="00432B0A"/>
    <w:rsid w:val="00442AE9"/>
    <w:rsid w:val="004523C6"/>
    <w:rsid w:val="00453C13"/>
    <w:rsid w:val="004549EA"/>
    <w:rsid w:val="00457661"/>
    <w:rsid w:val="004C7AC3"/>
    <w:rsid w:val="005516B4"/>
    <w:rsid w:val="00557D92"/>
    <w:rsid w:val="005C6A2A"/>
    <w:rsid w:val="005E3245"/>
    <w:rsid w:val="005E46A4"/>
    <w:rsid w:val="005E5B10"/>
    <w:rsid w:val="006056BD"/>
    <w:rsid w:val="0066026B"/>
    <w:rsid w:val="006A742B"/>
    <w:rsid w:val="006A79A2"/>
    <w:rsid w:val="006D0B02"/>
    <w:rsid w:val="006D551C"/>
    <w:rsid w:val="006D7A98"/>
    <w:rsid w:val="00720346"/>
    <w:rsid w:val="007354F2"/>
    <w:rsid w:val="00782A06"/>
    <w:rsid w:val="007B143E"/>
    <w:rsid w:val="00834BC0"/>
    <w:rsid w:val="008626AD"/>
    <w:rsid w:val="009171E9"/>
    <w:rsid w:val="009273C9"/>
    <w:rsid w:val="009549FA"/>
    <w:rsid w:val="009B0E76"/>
    <w:rsid w:val="009F3D90"/>
    <w:rsid w:val="009F4607"/>
    <w:rsid w:val="00A01D43"/>
    <w:rsid w:val="00A45F6F"/>
    <w:rsid w:val="00A56F9B"/>
    <w:rsid w:val="00A74F8A"/>
    <w:rsid w:val="00A764B7"/>
    <w:rsid w:val="00A9559B"/>
    <w:rsid w:val="00AC392A"/>
    <w:rsid w:val="00B25144"/>
    <w:rsid w:val="00C0487A"/>
    <w:rsid w:val="00C0726A"/>
    <w:rsid w:val="00C173A6"/>
    <w:rsid w:val="00C40394"/>
    <w:rsid w:val="00C87914"/>
    <w:rsid w:val="00CB2D7F"/>
    <w:rsid w:val="00CE345A"/>
    <w:rsid w:val="00CE4563"/>
    <w:rsid w:val="00D0178C"/>
    <w:rsid w:val="00D20E47"/>
    <w:rsid w:val="00D9590B"/>
    <w:rsid w:val="00DC7098"/>
    <w:rsid w:val="00DE784B"/>
    <w:rsid w:val="00E00968"/>
    <w:rsid w:val="00E3500D"/>
    <w:rsid w:val="00E5170C"/>
    <w:rsid w:val="00EB6D4C"/>
    <w:rsid w:val="00EC21BE"/>
    <w:rsid w:val="00EE16F5"/>
    <w:rsid w:val="00EE6762"/>
    <w:rsid w:val="00EF0BF9"/>
    <w:rsid w:val="00EF4AF3"/>
    <w:rsid w:val="00F27B07"/>
    <w:rsid w:val="00F7132B"/>
    <w:rsid w:val="00F81B12"/>
    <w:rsid w:val="00F97777"/>
    <w:rsid w:val="00FD0469"/>
    <w:rsid w:val="05BC4956"/>
    <w:rsid w:val="10DA2238"/>
    <w:rsid w:val="13097ECB"/>
    <w:rsid w:val="16EE7F1B"/>
    <w:rsid w:val="188769A0"/>
    <w:rsid w:val="1E2A5543"/>
    <w:rsid w:val="1E781280"/>
    <w:rsid w:val="212F2B26"/>
    <w:rsid w:val="213C6185"/>
    <w:rsid w:val="27ED3662"/>
    <w:rsid w:val="2A081A6A"/>
    <w:rsid w:val="2BDE38F5"/>
    <w:rsid w:val="2CF02558"/>
    <w:rsid w:val="2E583066"/>
    <w:rsid w:val="304C3910"/>
    <w:rsid w:val="33D2388E"/>
    <w:rsid w:val="3D7661F7"/>
    <w:rsid w:val="3F103555"/>
    <w:rsid w:val="3FB7044B"/>
    <w:rsid w:val="42685CA7"/>
    <w:rsid w:val="56B33D49"/>
    <w:rsid w:val="574E6508"/>
    <w:rsid w:val="5F5F31CA"/>
    <w:rsid w:val="628704B5"/>
    <w:rsid w:val="69483E95"/>
    <w:rsid w:val="6BBF6E6C"/>
    <w:rsid w:val="71EA3BDA"/>
    <w:rsid w:val="73AA661E"/>
    <w:rsid w:val="74F00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jc w:val="left"/>
      <w:outlineLvl w:val="0"/>
    </w:pPr>
    <w:rPr>
      <w:rFonts w:hint="eastAsia" w:ascii="宋体" w:hAnsi="宋体" w:cs="Times New Roman"/>
      <w:b/>
      <w:kern w:val="44"/>
      <w:sz w:val="48"/>
      <w:szCs w:val="48"/>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32"/>
    <w:qFormat/>
    <w:uiPriority w:val="0"/>
    <w:pPr>
      <w:tabs>
        <w:tab w:val="center" w:pos="4153"/>
        <w:tab w:val="right" w:pos="8306"/>
      </w:tabs>
      <w:snapToGrid w:val="0"/>
      <w:jc w:val="left"/>
    </w:pPr>
    <w:rPr>
      <w:sz w:val="18"/>
      <w:szCs w:val="18"/>
    </w:rPr>
  </w:style>
  <w:style w:type="paragraph" w:styleId="4">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45292"/>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45292"/>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missing_data"/>
    <w:basedOn w:val="6"/>
    <w:qFormat/>
    <w:uiPriority w:val="0"/>
    <w:rPr>
      <w:color w:val="FF0000"/>
    </w:rPr>
  </w:style>
  <w:style w:type="character" w:customStyle="1" w:styleId="17">
    <w:name w:val="datetime"/>
    <w:basedOn w:val="6"/>
    <w:qFormat/>
    <w:uiPriority w:val="0"/>
  </w:style>
  <w:style w:type="character" w:customStyle="1" w:styleId="18">
    <w:name w:val="datetime1"/>
    <w:basedOn w:val="6"/>
    <w:qFormat/>
    <w:uiPriority w:val="0"/>
  </w:style>
  <w:style w:type="character" w:customStyle="1" w:styleId="19">
    <w:name w:val="datetime2"/>
    <w:basedOn w:val="6"/>
    <w:qFormat/>
    <w:uiPriority w:val="0"/>
  </w:style>
  <w:style w:type="character" w:customStyle="1" w:styleId="20">
    <w:name w:val="datetime3"/>
    <w:basedOn w:val="6"/>
    <w:qFormat/>
    <w:uiPriority w:val="0"/>
  </w:style>
  <w:style w:type="character" w:customStyle="1" w:styleId="21">
    <w:name w:val="datetime4"/>
    <w:basedOn w:val="6"/>
    <w:qFormat/>
    <w:uiPriority w:val="0"/>
  </w:style>
  <w:style w:type="character" w:customStyle="1" w:styleId="22">
    <w:name w:val="datetime5"/>
    <w:basedOn w:val="6"/>
    <w:qFormat/>
    <w:uiPriority w:val="0"/>
  </w:style>
  <w:style w:type="character" w:customStyle="1" w:styleId="23">
    <w:name w:val="datetime6"/>
    <w:basedOn w:val="6"/>
    <w:qFormat/>
    <w:uiPriority w:val="0"/>
  </w:style>
  <w:style w:type="character" w:customStyle="1" w:styleId="24">
    <w:name w:val="datetime7"/>
    <w:basedOn w:val="6"/>
    <w:qFormat/>
    <w:uiPriority w:val="0"/>
  </w:style>
  <w:style w:type="character" w:customStyle="1" w:styleId="25">
    <w:name w:val="datetime8"/>
    <w:basedOn w:val="6"/>
    <w:qFormat/>
    <w:uiPriority w:val="0"/>
  </w:style>
  <w:style w:type="character" w:customStyle="1" w:styleId="26">
    <w:name w:val="datetime9"/>
    <w:basedOn w:val="6"/>
    <w:qFormat/>
    <w:uiPriority w:val="0"/>
  </w:style>
  <w:style w:type="character" w:customStyle="1" w:styleId="27">
    <w:name w:val="datetime10"/>
    <w:basedOn w:val="6"/>
    <w:qFormat/>
    <w:uiPriority w:val="0"/>
  </w:style>
  <w:style w:type="character" w:customStyle="1" w:styleId="28">
    <w:name w:val="datetime11"/>
    <w:basedOn w:val="6"/>
    <w:qFormat/>
    <w:uiPriority w:val="0"/>
  </w:style>
  <w:style w:type="character" w:customStyle="1" w:styleId="29">
    <w:name w:val="datetime12"/>
    <w:basedOn w:val="6"/>
    <w:qFormat/>
    <w:uiPriority w:val="0"/>
  </w:style>
  <w:style w:type="character" w:customStyle="1" w:styleId="30">
    <w:name w:val="datetime13"/>
    <w:basedOn w:val="6"/>
    <w:qFormat/>
    <w:uiPriority w:val="0"/>
  </w:style>
  <w:style w:type="character" w:customStyle="1" w:styleId="31">
    <w:name w:val="页眉 Char"/>
    <w:basedOn w:val="6"/>
    <w:link w:val="4"/>
    <w:qFormat/>
    <w:uiPriority w:val="0"/>
    <w:rPr>
      <w:rFonts w:ascii="Calibri" w:hAnsi="Calibri" w:cs="Calibri"/>
      <w:kern w:val="2"/>
      <w:sz w:val="18"/>
      <w:szCs w:val="18"/>
    </w:rPr>
  </w:style>
  <w:style w:type="character" w:customStyle="1" w:styleId="32">
    <w:name w:val="页脚 Char"/>
    <w:basedOn w:val="6"/>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654</Words>
  <Characters>3731</Characters>
  <Lines>31</Lines>
  <Paragraphs>8</Paragraphs>
  <ScaleCrop>false</ScaleCrop>
  <LinksUpToDate>false</LinksUpToDate>
  <CharactersWithSpaces>4377</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2018-03-28T02:10:00Z</dcterms:created>
  <dc:creator>lenovo</dc:creator>
  <cp:lastModifiedBy>墨水心</cp:lastModifiedBy>
  <cp:lastPrinted>2017-03-21T02:23:00Z</cp:lastPrinted>
  <dcterms:modified xsi:type="dcterms:W3CDTF">2018-03-28T07:48:07Z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