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莆田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华侨</w:t>
      </w:r>
      <w:r>
        <w:rPr>
          <w:rFonts w:hint="eastAsia" w:ascii="宋体" w:hAnsi="宋体" w:eastAsia="宋体" w:cs="宋体"/>
          <w:b/>
          <w:sz w:val="36"/>
          <w:szCs w:val="36"/>
        </w:rPr>
        <w:t>中学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考核</w:t>
      </w:r>
      <w:r>
        <w:rPr>
          <w:rFonts w:hint="eastAsia" w:ascii="宋体" w:hAnsi="宋体" w:eastAsia="宋体" w:cs="宋体"/>
          <w:b/>
          <w:sz w:val="36"/>
          <w:szCs w:val="36"/>
        </w:rPr>
        <w:t>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高中</w:t>
      </w:r>
      <w:r>
        <w:rPr>
          <w:rFonts w:hint="eastAsia" w:ascii="宋体" w:hAnsi="宋体" w:eastAsia="宋体" w:cs="宋体"/>
          <w:b/>
          <w:sz w:val="36"/>
          <w:szCs w:val="36"/>
        </w:rPr>
        <w:t>新任教师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面试考核</w:t>
      </w:r>
      <w:r>
        <w:rPr>
          <w:rFonts w:hint="eastAsia" w:ascii="宋体" w:hAnsi="宋体" w:eastAsia="宋体" w:cs="宋体"/>
          <w:b/>
          <w:sz w:val="36"/>
          <w:szCs w:val="36"/>
        </w:rPr>
        <w:t>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考生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面试顺序号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FFFFFF"/>
          <w:sz w:val="24"/>
          <w:szCs w:val="24"/>
          <w:u w:val="single"/>
          <w:lang w:val="en-US" w:eastAsia="zh-CN"/>
        </w:rPr>
        <w:t>1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85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评价要点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权重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1、符合课程标准和教学要求，切合学生实际，目标明确、具体、可操作。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2、能正确认识所选片段在教材中的地位、作用，教学整体设计重点突出、难易适度。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3、能力培养、思维训练要求明确，注意寓德于教。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方法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1、教师主导、学生主体作用突出，渗透学法指导。（通过教师口头表达体现学生活动）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2、教学灵活、突出重点、突破难点措施有力。注意科学性、有效性。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效果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1、仪容仪表端庄，教态亲切、自然，语言简练、生动、有感染力。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2、板书、板画板书设计合理，条理清楚、科学、正确。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3、学科基本技能好，善于发挥自身特长。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教案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片段教学内容完整、正确，教学设计科学合理。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17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评委签名：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25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2018-01-09T02:05:05Z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