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imes New Roman" w:hAnsi="Times New Roman" w:cs="Times New Roman"/>
          <w:b w:val="0"/>
          <w:sz w:val="21"/>
          <w:szCs w:val="21"/>
        </w:rPr>
      </w:pPr>
      <w:r>
        <w:rPr>
          <w:rFonts w:hint="eastAsia" w:ascii="仿宋" w:hAnsi="仿宋" w:eastAsia="仿宋" w:cs="仿宋"/>
          <w:b w:val="0"/>
          <w:i w:val="0"/>
          <w:caps w:val="0"/>
          <w:color w:val="000000"/>
          <w:spacing w:val="0"/>
          <w:kern w:val="0"/>
          <w:sz w:val="30"/>
          <w:szCs w:val="30"/>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pPr>
      <w:r>
        <w:rPr>
          <w:rFonts w:hint="eastAsia" w:ascii="仿宋" w:hAnsi="仿宋" w:eastAsia="仿宋" w:cs="仿宋"/>
          <w:i w:val="0"/>
          <w:caps w:val="0"/>
          <w:color w:val="000000"/>
          <w:spacing w:val="0"/>
          <w:kern w:val="0"/>
          <w:sz w:val="30"/>
          <w:szCs w:val="30"/>
          <w:bdr w:val="none" w:color="auto" w:sz="0" w:space="0"/>
          <w:lang w:val="en-US" w:eastAsia="zh-CN" w:bidi="ar"/>
        </w:rPr>
        <w:t>      </w:t>
      </w:r>
      <w:r>
        <w:rPr>
          <w:rFonts w:hint="eastAsia" w:ascii="黑体" w:hAnsi="宋体" w:eastAsia="黑体" w:cs="黑体"/>
          <w:b/>
          <w:i w:val="0"/>
          <w:caps w:val="0"/>
          <w:color w:val="000000"/>
          <w:spacing w:val="0"/>
          <w:kern w:val="0"/>
          <w:sz w:val="44"/>
          <w:szCs w:val="44"/>
          <w:bdr w:val="none" w:color="auto" w:sz="0" w:space="0"/>
          <w:lang w:val="en-US" w:eastAsia="zh-CN" w:bidi="ar"/>
        </w:rPr>
        <w:t>贵州省岑巩</w:t>
      </w:r>
      <w:bookmarkStart w:id="0" w:name="_GoBack"/>
      <w:bookmarkEnd w:id="0"/>
      <w:r>
        <w:rPr>
          <w:rFonts w:hint="eastAsia" w:ascii="黑体" w:hAnsi="宋体" w:eastAsia="黑体" w:cs="黑体"/>
          <w:b/>
          <w:i w:val="0"/>
          <w:caps w:val="0"/>
          <w:color w:val="000000"/>
          <w:spacing w:val="0"/>
          <w:kern w:val="0"/>
          <w:sz w:val="44"/>
          <w:szCs w:val="44"/>
          <w:bdr w:val="none" w:color="auto" w:sz="0" w:space="0"/>
          <w:lang w:val="en-US" w:eastAsia="zh-CN" w:bidi="ar"/>
        </w:rPr>
        <w:t>县2018年高薪引进教师岗位一览表</w:t>
      </w:r>
    </w:p>
    <w:tbl>
      <w:tblPr>
        <w:tblW w:w="10765" w:type="dxa"/>
        <w:jc w:val="center"/>
        <w:tblInd w:w="-112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36"/>
        <w:gridCol w:w="436"/>
        <w:gridCol w:w="541"/>
        <w:gridCol w:w="436"/>
        <w:gridCol w:w="658"/>
        <w:gridCol w:w="437"/>
        <w:gridCol w:w="1128"/>
        <w:gridCol w:w="4809"/>
        <w:gridCol w:w="470"/>
        <w:gridCol w:w="958"/>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70" w:hRule="atLeast"/>
          <w:jc w:val="center"/>
        </w:trPr>
        <w:tc>
          <w:tcPr>
            <w:tcW w:w="43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主管部门</w:t>
            </w:r>
          </w:p>
        </w:tc>
        <w:tc>
          <w:tcPr>
            <w:tcW w:w="43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用人单位名称</w:t>
            </w:r>
          </w:p>
        </w:tc>
        <w:tc>
          <w:tcPr>
            <w:tcW w:w="54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岗位代码</w:t>
            </w:r>
          </w:p>
        </w:tc>
        <w:tc>
          <w:tcPr>
            <w:tcW w:w="43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岗位类型</w:t>
            </w:r>
          </w:p>
        </w:tc>
        <w:tc>
          <w:tcPr>
            <w:tcW w:w="65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岗位名称（简介）</w:t>
            </w:r>
          </w:p>
        </w:tc>
        <w:tc>
          <w:tcPr>
            <w:tcW w:w="43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引才人数</w:t>
            </w:r>
          </w:p>
        </w:tc>
        <w:tc>
          <w:tcPr>
            <w:tcW w:w="7365"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急需紧缺人才要求条件</w:t>
            </w:r>
          </w:p>
        </w:tc>
        <w:tc>
          <w:tcPr>
            <w:tcW w:w="45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43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65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学历、学位要求</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需求专业</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年龄</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kern w:val="0"/>
                <w:sz w:val="20"/>
                <w:szCs w:val="20"/>
                <w:bdr w:val="none" w:color="auto" w:sz="0" w:space="0"/>
                <w:lang w:val="en-US" w:eastAsia="zh-CN" w:bidi="ar"/>
              </w:rPr>
              <w:t>其他条件</w:t>
            </w:r>
          </w:p>
        </w:tc>
        <w:tc>
          <w:tcPr>
            <w:tcW w:w="45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5" w:hRule="atLeast"/>
          <w:jc w:val="center"/>
        </w:trPr>
        <w:tc>
          <w:tcPr>
            <w:tcW w:w="4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岑巩县教育和科技局</w:t>
            </w:r>
          </w:p>
        </w:tc>
        <w:tc>
          <w:tcPr>
            <w:tcW w:w="43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岑巩县第一中学</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92</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语文教学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本科：语文教育、汉语言文学、汉语言、应用语言学、中国语言文学、中国少数民族语言文学。</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硕士：中国语言文学类、学科教学（语文）。</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持有高中教师资格证或通过高中教师资格证考试并成绩合格，取得中级及以上专业技术职称者学历学位可放宽至全日制普通高校本科学历、学士学位及以上、年龄可放宽至40周岁及以下。本科限“985”或“211”工程院校毕业生。</w:t>
            </w: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93</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数学教学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本科：数学、应用数学、数学教育、数学与应用数学。</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硕士：数学类、学科教学（数学）。</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94</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日语教学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本科：日语教育、日语、日语翻译、日语语言文学、应用日语、日语笔译。</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硕士：日语语言文学、日语翻译、日语笔译、学科教学（日语）。</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95</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物理教学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本科：物理学、应用物理学、物理教育、物理、物理学教育。</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硕士：物理学类、学科教学（物理）。</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96</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化学教学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本科：化学教育、化学、应用化学、化学生物学、分子科学与工程。</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硕士：化学类、学科教学（化学）。</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97</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生物教学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本科：生物学、生物科学、生物教育、生物技术、生物信息技术、生物科学与生物技术、生物信息学。</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硕士：生物学类、学科教学（生物）。</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98</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政治教学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本科：思想政治教育、政治学与行政学、哲学。</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硕士：经济学类、哲学类、学科教学（思政）。</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0"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99</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地理教学</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本科：地理学、自然地理、地理科学、地理教育。</w:t>
            </w:r>
            <w:r>
              <w:rPr>
                <w:rFonts w:hint="eastAsia" w:ascii="宋体" w:hAnsi="宋体" w:eastAsia="宋体" w:cs="宋体"/>
                <w:b w:val="0"/>
                <w:kern w:val="0"/>
                <w:sz w:val="20"/>
                <w:szCs w:val="20"/>
                <w:bdr w:val="none" w:color="auto" w:sz="0" w:space="0"/>
                <w:lang w:val="en-US" w:eastAsia="zh-CN" w:bidi="ar"/>
              </w:rPr>
              <w:br w:type="textWrapping"/>
            </w:r>
            <w:r>
              <w:rPr>
                <w:rFonts w:hint="eastAsia" w:ascii="宋体" w:hAnsi="宋体" w:eastAsia="宋体" w:cs="宋体"/>
                <w:b w:val="0"/>
                <w:kern w:val="0"/>
                <w:sz w:val="20"/>
                <w:szCs w:val="20"/>
                <w:bdr w:val="none" w:color="auto" w:sz="0" w:space="0"/>
                <w:lang w:val="en-US" w:eastAsia="zh-CN" w:bidi="ar"/>
              </w:rPr>
              <w:t>硕士：地理学类、学科教学（地理）。</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jc w:val="center"/>
        </w:trPr>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43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27"/>
                <w:szCs w:val="27"/>
              </w:rPr>
            </w:pP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100</w:t>
            </w:r>
          </w:p>
        </w:tc>
        <w:tc>
          <w:tcPr>
            <w:tcW w:w="4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专业技术岗位</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心理学教师</w:t>
            </w:r>
          </w:p>
        </w:tc>
        <w:tc>
          <w:tcPr>
            <w:tcW w:w="4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全日制普通高校大学本科、学士及以上学历学位</w:t>
            </w:r>
          </w:p>
        </w:tc>
        <w:tc>
          <w:tcPr>
            <w:tcW w:w="48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心理学类</w:t>
            </w:r>
          </w:p>
        </w:tc>
        <w:tc>
          <w:tcPr>
            <w:tcW w:w="4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35周岁及以下</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本科限“985”或“211”工程院校毕业生</w:t>
            </w:r>
          </w:p>
        </w:tc>
        <w:tc>
          <w:tcPr>
            <w:tcW w:w="4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436"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436"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541"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436"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65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000000"/>
                <w:spacing w:val="0"/>
                <w:kern w:val="0"/>
                <w:sz w:val="20"/>
                <w:szCs w:val="20"/>
                <w:bdr w:val="none" w:color="auto" w:sz="0" w:space="0"/>
                <w:lang w:val="en-US" w:eastAsia="zh-CN" w:bidi="ar"/>
              </w:rPr>
              <w:t>合计</w:t>
            </w:r>
          </w:p>
        </w:tc>
        <w:tc>
          <w:tcPr>
            <w:tcW w:w="437"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000000"/>
                <w:spacing w:val="0"/>
                <w:kern w:val="0"/>
                <w:sz w:val="20"/>
                <w:szCs w:val="20"/>
                <w:bdr w:val="none" w:color="auto" w:sz="0" w:space="0"/>
                <w:lang w:val="en-US" w:eastAsia="zh-CN" w:bidi="ar"/>
              </w:rPr>
              <w:t>15</w:t>
            </w:r>
          </w:p>
        </w:tc>
        <w:tc>
          <w:tcPr>
            <w:tcW w:w="112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000000"/>
                <w:spacing w:val="0"/>
                <w:kern w:val="0"/>
                <w:sz w:val="20"/>
                <w:szCs w:val="20"/>
                <w:bdr w:val="none" w:color="auto" w:sz="0" w:space="0"/>
                <w:lang w:val="en-US" w:eastAsia="zh-CN" w:bidi="ar"/>
              </w:rPr>
              <w:t> </w:t>
            </w:r>
          </w:p>
        </w:tc>
        <w:tc>
          <w:tcPr>
            <w:tcW w:w="4809" w:type="dxa"/>
            <w:tcBorders>
              <w:top w:val="nil"/>
              <w:left w:val="nil"/>
              <w:bottom w:val="nil"/>
              <w:right w:val="nil"/>
            </w:tcBorders>
            <w:shd w:val="clear"/>
            <w:tcMar>
              <w:left w:w="108" w:type="dxa"/>
              <w:right w:w="108" w:type="dxa"/>
            </w:tcMar>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7"/>
                <w:szCs w:val="27"/>
              </w:rPr>
            </w:pPr>
          </w:p>
        </w:tc>
        <w:tc>
          <w:tcPr>
            <w:tcW w:w="470" w:type="dxa"/>
            <w:tcBorders>
              <w:top w:val="outset" w:color="auto" w:sz="6" w:space="0"/>
              <w:left w:val="nil"/>
              <w:bottom w:val="outset" w:color="auto" w:sz="6" w:space="0"/>
              <w:right w:val="outset" w:color="auto" w:sz="6" w:space="0"/>
            </w:tcBorders>
            <w:shd w:val="clear"/>
            <w:vAlign w:val="center"/>
          </w:tcPr>
          <w:p>
            <w:pPr>
              <w:rPr>
                <w:rFonts w:hint="eastAsia" w:ascii="宋体" w:hAnsi="宋体" w:eastAsia="宋体" w:cs="宋体"/>
                <w:b w:val="0"/>
                <w:sz w:val="27"/>
                <w:szCs w:val="27"/>
              </w:rPr>
            </w:pPr>
          </w:p>
        </w:tc>
        <w:tc>
          <w:tcPr>
            <w:tcW w:w="958" w:type="dxa"/>
            <w:tcBorders>
              <w:top w:val="outset" w:color="auto" w:sz="6" w:space="0"/>
              <w:left w:val="nil"/>
              <w:bottom w:val="outset" w:color="auto" w:sz="6" w:space="0"/>
              <w:right w:val="outset" w:color="auto" w:sz="6" w:space="0"/>
            </w:tcBorders>
            <w:shd w:val="clear"/>
            <w:vAlign w:val="center"/>
          </w:tcPr>
          <w:p>
            <w:pPr>
              <w:rPr>
                <w:rFonts w:hint="eastAsia" w:ascii="宋体" w:hAnsi="宋体" w:eastAsia="宋体" w:cs="宋体"/>
                <w:b w:val="0"/>
                <w:sz w:val="27"/>
                <w:szCs w:val="27"/>
              </w:rPr>
            </w:pPr>
          </w:p>
        </w:tc>
        <w:tc>
          <w:tcPr>
            <w:tcW w:w="456" w:type="dxa"/>
            <w:tcBorders>
              <w:top w:val="outset" w:color="auto" w:sz="6" w:space="0"/>
              <w:left w:val="nil"/>
              <w:bottom w:val="outset" w:color="auto" w:sz="6" w:space="0"/>
              <w:right w:val="outset" w:color="auto" w:sz="6" w:space="0"/>
            </w:tcBorders>
            <w:shd w:val="clear"/>
            <w:vAlign w:val="center"/>
          </w:tcPr>
          <w:p>
            <w:pPr>
              <w:rPr>
                <w:rFonts w:hint="eastAsia" w:ascii="宋体" w:hAnsi="宋体" w:eastAsia="宋体" w:cs="宋体"/>
                <w:b w:val="0"/>
                <w:sz w:val="27"/>
                <w:szCs w:val="2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微软简标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隶书">
    <w:altName w:val="微软雅黑"/>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B047D"/>
    <w:rsid w:val="4FCB0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2017-10-30T12:55:00Z</dcterms:created>
  <dc:creator>Administrator</dc:creator>
  <cp:lastModifiedBy>Administrator</cp:lastModifiedBy>
  <dcterms:modified xsi:type="dcterms:W3CDTF">2017-10-30T14:48:40Z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